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71" w:rsidRDefault="00BF4571">
      <w:pPr>
        <w:spacing w:after="1" w:line="220" w:lineRule="auto"/>
        <w:jc w:val="center"/>
        <w:outlineLvl w:val="0"/>
      </w:pPr>
      <w:bookmarkStart w:id="0" w:name="_GoBack"/>
      <w:bookmarkEnd w:id="0"/>
      <w:r>
        <w:rPr>
          <w:rFonts w:ascii="Calibri" w:hAnsi="Calibri" w:cs="Calibri"/>
          <w:b/>
        </w:rPr>
        <w:t>АРХАНГЕЛЬСКАЯ ГОРОДСКАЯ ДУМА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Сорок первая сессия двадцать шестого созыва</w:t>
      </w:r>
    </w:p>
    <w:p w:rsidR="00BF4571" w:rsidRDefault="00BF4571">
      <w:pPr>
        <w:spacing w:after="1" w:line="220" w:lineRule="auto"/>
        <w:jc w:val="center"/>
      </w:pP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РЕШЕНИЕ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20 сентября 2017 г. N 567</w:t>
      </w:r>
    </w:p>
    <w:p w:rsidR="00BF4571" w:rsidRDefault="00BF4571">
      <w:pPr>
        <w:spacing w:after="1" w:line="220" w:lineRule="auto"/>
        <w:jc w:val="center"/>
      </w:pP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ОБ УТВЕРЖДЕНИИ МЕСТНЫХ НОРМАТИВОВ </w:t>
      </w:r>
      <w:proofErr w:type="gramStart"/>
      <w:r>
        <w:rPr>
          <w:rFonts w:ascii="Calibri" w:hAnsi="Calibri" w:cs="Calibri"/>
          <w:b/>
        </w:rPr>
        <w:t>ГРАДОСТРОИТЕЛЬНОГО</w:t>
      </w:r>
      <w:proofErr w:type="gramEnd"/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ПРОЕКТИРОВАНИЯ ГОРОДСКОГО ОКРУГА "ГОРОД АРХАНГЕЛЬСК"</w:t>
      </w:r>
    </w:p>
    <w:p w:rsidR="00BF4571" w:rsidRDefault="00BF45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71" w:rsidRDefault="00BF45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71" w:rsidRDefault="00BF45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решений Архангельской городской Думы от 15.03.2023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25.09.2024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115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71" w:rsidRDefault="00BF4571"/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7">
        <w:r>
          <w:rPr>
            <w:rFonts w:ascii="Calibri" w:hAnsi="Calibri" w:cs="Calibri"/>
            <w:color w:val="0000FF"/>
          </w:rPr>
          <w:t>главой 3.1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</w:t>
      </w:r>
      <w:hyperlink r:id="rId8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на основании Устава городского округа "Город Архангельск" Архангельская городская Дума решила:</w:t>
      </w:r>
    </w:p>
    <w:p w:rsidR="00BF4571" w:rsidRDefault="00BF4571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9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Архангельской городской Думы от 15.03.2023 N 649)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Утвердить прилагаемые местные </w:t>
      </w:r>
      <w:hyperlink w:anchor="P35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градостроительного проектирования городского округа "Город Архангельск".</w:t>
      </w:r>
    </w:p>
    <w:p w:rsidR="00BF4571" w:rsidRDefault="00BF4571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0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Архангельской городской Думы от 15.03.2023 N 649)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right"/>
      </w:pPr>
      <w:r>
        <w:rPr>
          <w:rFonts w:ascii="Calibri" w:hAnsi="Calibri" w:cs="Calibri"/>
        </w:rPr>
        <w:t>Председатель городской Думы</w:t>
      </w:r>
    </w:p>
    <w:p w:rsidR="00BF4571" w:rsidRDefault="00BF4571">
      <w:pPr>
        <w:spacing w:after="1" w:line="220" w:lineRule="auto"/>
        <w:jc w:val="right"/>
      </w:pPr>
      <w:proofErr w:type="spellStart"/>
      <w:r>
        <w:rPr>
          <w:rFonts w:ascii="Calibri" w:hAnsi="Calibri" w:cs="Calibri"/>
        </w:rPr>
        <w:t>В.В.СЫРОВА</w:t>
      </w:r>
      <w:proofErr w:type="spellEnd"/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right"/>
      </w:pPr>
      <w:r>
        <w:rPr>
          <w:rFonts w:ascii="Calibri" w:hAnsi="Calibri" w:cs="Calibri"/>
        </w:rPr>
        <w:t>Глава муниципального образования</w:t>
      </w:r>
    </w:p>
    <w:p w:rsidR="00BF4571" w:rsidRDefault="00BF4571">
      <w:pPr>
        <w:spacing w:after="1" w:line="220" w:lineRule="auto"/>
        <w:jc w:val="right"/>
      </w:pPr>
      <w:r>
        <w:rPr>
          <w:rFonts w:ascii="Calibri" w:hAnsi="Calibri" w:cs="Calibri"/>
        </w:rPr>
        <w:t>"Город Архангельск"</w:t>
      </w:r>
    </w:p>
    <w:p w:rsidR="00BF4571" w:rsidRDefault="00BF4571">
      <w:pPr>
        <w:spacing w:after="1" w:line="220" w:lineRule="auto"/>
        <w:jc w:val="right"/>
      </w:pPr>
      <w:proofErr w:type="spellStart"/>
      <w:r>
        <w:rPr>
          <w:rFonts w:ascii="Calibri" w:hAnsi="Calibri" w:cs="Calibri"/>
        </w:rPr>
        <w:t>И.В.ГОДЗИШ</w:t>
      </w:r>
      <w:proofErr w:type="spellEnd"/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right"/>
      </w:pPr>
      <w:r>
        <w:rPr>
          <w:rFonts w:ascii="Calibri" w:hAnsi="Calibri" w:cs="Calibri"/>
        </w:rPr>
        <w:t>Утверждены</w:t>
      </w:r>
    </w:p>
    <w:p w:rsidR="00BF4571" w:rsidRDefault="00BF4571">
      <w:pPr>
        <w:spacing w:after="1" w:line="220" w:lineRule="auto"/>
        <w:jc w:val="right"/>
      </w:pPr>
      <w:r>
        <w:rPr>
          <w:rFonts w:ascii="Calibri" w:hAnsi="Calibri" w:cs="Calibri"/>
        </w:rPr>
        <w:t>решением Архангельской городской Думы</w:t>
      </w:r>
    </w:p>
    <w:p w:rsidR="00BF4571" w:rsidRDefault="00BF4571">
      <w:pPr>
        <w:spacing w:after="1" w:line="220" w:lineRule="auto"/>
        <w:jc w:val="right"/>
      </w:pPr>
      <w:r>
        <w:rPr>
          <w:rFonts w:ascii="Calibri" w:hAnsi="Calibri" w:cs="Calibri"/>
        </w:rPr>
        <w:t>от 20.09.2017 N 567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</w:pPr>
      <w:bookmarkStart w:id="1" w:name="P35"/>
      <w:bookmarkEnd w:id="1"/>
      <w:r>
        <w:rPr>
          <w:rFonts w:ascii="Calibri" w:hAnsi="Calibri" w:cs="Calibri"/>
          <w:b/>
        </w:rPr>
        <w:t>МЕСТНЫЕ НОРМАТИВЫ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ГРАДОСТРОИТЕЛЬНОГО ПРОЕКТИРОВАНИЯ ГОРОДСКОГО ОКРУГА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"ГОРОД АРХАНГЕЛЬСК"</w:t>
      </w:r>
    </w:p>
    <w:p w:rsidR="00BF4571" w:rsidRDefault="00BF45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71" w:rsidRDefault="00BF45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71" w:rsidRDefault="00BF45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Архангельской городской Думы от 25.09.2024 N 115)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71" w:rsidRDefault="00BF4571"/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Раздел I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ОСНОВНАЯ ЧАСТЬ. РАСЧЕТНЫЕ ПОКАЗАТЕЛИ. ПРАВИЛА И ОБЛАСТЬ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ПРИМЕНЕНИЯ РАСЧЕТНЫХ ПОКАЗАТЕЛЕЙ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12">
        <w:r>
          <w:rPr>
            <w:rFonts w:ascii="Calibri" w:hAnsi="Calibri" w:cs="Calibri"/>
            <w:color w:val="0000FF"/>
          </w:rPr>
          <w:t>статьей 29.2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местные нормативы градостроительного проектирования городского округа "Город Архангельск" (далее - нормативы) содержат минимальные расчетные показатели допустимого уровня обеспеченности объектами местного значения городского округа "Город Архангельск" (в том числе объектами </w:t>
      </w:r>
      <w:r>
        <w:rPr>
          <w:rFonts w:ascii="Calibri" w:hAnsi="Calibri" w:cs="Calibri"/>
        </w:rPr>
        <w:lastRenderedPageBreak/>
        <w:t>социального и коммунально-бытового назначения, объектами инженерной инфраструктуры, благоустройства территории) (далее - расчетные показатели).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Минимальные расчетные показатели применяются на всей территории городского округа "Город Архангельск".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 xml:space="preserve">Глава 1. ОБЩИЕ РАСЧЕТНЫЕ ПОКАЗАТЕЛИ </w:t>
      </w:r>
      <w:proofErr w:type="gramStart"/>
      <w:r>
        <w:rPr>
          <w:rFonts w:ascii="Calibri" w:hAnsi="Calibri" w:cs="Calibri"/>
          <w:b/>
        </w:rPr>
        <w:t>ПЛАНИРОВОЧНОЙ</w:t>
      </w:r>
      <w:proofErr w:type="gramEnd"/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ОРГАНИЗАЦИИ ТЕРРИТОРИИ ГОРОДСКОГО ОКРУГА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"ГОРОД АРХАНГЕЛЬСК"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1. Нормативы плотности населения территорий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При проектировании жилой зоны на территории городского округа "Город Архангельск" расчетную плотность населения жилого района, микрорайона принимать не менее показателей, приведенных в таблице 1.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1. Минимальная плотность населения на территории жилого района, микрорайона (чел./</w:t>
      </w:r>
      <w:proofErr w:type="gramStart"/>
      <w:r>
        <w:rPr>
          <w:rFonts w:ascii="Calibri" w:hAnsi="Calibri" w:cs="Calibri"/>
        </w:rPr>
        <w:t>га</w:t>
      </w:r>
      <w:proofErr w:type="gramEnd"/>
      <w:r>
        <w:rPr>
          <w:rFonts w:ascii="Calibri" w:hAnsi="Calibri" w:cs="Calibri"/>
        </w:rPr>
        <w:t>) по расчетным периодам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191"/>
        <w:gridCol w:w="1361"/>
        <w:gridCol w:w="1304"/>
        <w:gridCol w:w="1644"/>
      </w:tblGrid>
      <w:tr w:rsidR="00BF4571">
        <w:tc>
          <w:tcPr>
            <w:tcW w:w="3181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Зона различной степени градостроительной ценности территории</w:t>
            </w:r>
          </w:p>
        </w:tc>
        <w:tc>
          <w:tcPr>
            <w:tcW w:w="5500" w:type="dxa"/>
            <w:gridSpan w:val="4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Плотность населения на территории (чел./</w:t>
            </w: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>) при показателях жилищной обеспеченности (кв. м/чел.)</w:t>
            </w:r>
          </w:p>
        </w:tc>
      </w:tr>
      <w:tr w:rsidR="00BF4571">
        <w:tc>
          <w:tcPr>
            <w:tcW w:w="3181" w:type="dxa"/>
            <w:vMerge/>
          </w:tcPr>
          <w:p w:rsidR="00BF4571" w:rsidRDefault="00BF4571"/>
        </w:tc>
        <w:tc>
          <w:tcPr>
            <w:tcW w:w="2552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жилого района</w:t>
            </w:r>
          </w:p>
        </w:tc>
        <w:tc>
          <w:tcPr>
            <w:tcW w:w="2948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микрорайона</w:t>
            </w:r>
          </w:p>
        </w:tc>
      </w:tr>
      <w:tr w:rsidR="00BF4571">
        <w:tc>
          <w:tcPr>
            <w:tcW w:w="3181" w:type="dxa"/>
            <w:vMerge/>
          </w:tcPr>
          <w:p w:rsidR="00BF4571" w:rsidRDefault="00BF4571"/>
        </w:tc>
        <w:tc>
          <w:tcPr>
            <w:tcW w:w="11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2022 г.</w:t>
            </w:r>
          </w:p>
        </w:tc>
        <w:tc>
          <w:tcPr>
            <w:tcW w:w="136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 г.</w:t>
            </w:r>
          </w:p>
        </w:tc>
        <w:tc>
          <w:tcPr>
            <w:tcW w:w="130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2022 г.</w:t>
            </w:r>
          </w:p>
        </w:tc>
        <w:tc>
          <w:tcPr>
            <w:tcW w:w="164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 г.</w:t>
            </w:r>
          </w:p>
        </w:tc>
      </w:tr>
      <w:tr w:rsidR="00BF4571">
        <w:tc>
          <w:tcPr>
            <w:tcW w:w="318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высокая</w:t>
            </w:r>
          </w:p>
        </w:tc>
        <w:tc>
          <w:tcPr>
            <w:tcW w:w="11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36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30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164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BF4571">
        <w:tc>
          <w:tcPr>
            <w:tcW w:w="318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средняя</w:t>
            </w:r>
          </w:p>
        </w:tc>
        <w:tc>
          <w:tcPr>
            <w:tcW w:w="11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30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4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210</w:t>
            </w:r>
          </w:p>
        </w:tc>
      </w:tr>
      <w:tr w:rsidR="00BF4571">
        <w:tc>
          <w:tcPr>
            <w:tcW w:w="318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низкая</w:t>
            </w:r>
          </w:p>
        </w:tc>
        <w:tc>
          <w:tcPr>
            <w:tcW w:w="11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6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30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64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195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Зоны различной степени градостроительной ценности территории и их границы определяются с учетом кадастровой стоимости земельного участка, уровня обеспеченности инженерной и транспортной инфраструктурами, объектами обслуживания, капиталовложений в инженерную подготовку территории, наличия историко-культурных и архитектурно-ландшафтных ценностей.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2. Показатели в сфере жилищного обеспечения</w:t>
      </w:r>
    </w:p>
    <w:p w:rsidR="00BF4571" w:rsidRDefault="00BF4571">
      <w:pPr>
        <w:spacing w:after="1" w:line="220" w:lineRule="auto"/>
        <w:ind w:firstLine="540"/>
        <w:jc w:val="both"/>
      </w:pPr>
    </w:p>
    <w:bookmarkStart w:id="2" w:name="P88"/>
    <w:bookmarkEnd w:id="2"/>
    <w:p w:rsidR="00BF4571" w:rsidRDefault="00BF4571">
      <w:pPr>
        <w:spacing w:after="1" w:line="220" w:lineRule="auto"/>
        <w:ind w:firstLine="540"/>
        <w:jc w:val="both"/>
      </w:pPr>
      <w:r>
        <w:fldChar w:fldCharType="begin"/>
      </w:r>
      <w:r>
        <w:instrText xml:space="preserve"> HYPERLINK \l "P88" \h </w:instrText>
      </w:r>
      <w:r>
        <w:fldChar w:fldCharType="separate"/>
      </w:r>
      <w:r>
        <w:rPr>
          <w:rFonts w:ascii="Calibri" w:hAnsi="Calibri" w:cs="Calibri"/>
          <w:color w:val="0000FF"/>
        </w:rPr>
        <w:t>Таблица 2</w:t>
      </w:r>
      <w:r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>. Норматив жилищной обеспеченности (кв. м/чел.)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572"/>
        <w:gridCol w:w="3544"/>
      </w:tblGrid>
      <w:tr w:rsidR="00BF4571">
        <w:tc>
          <w:tcPr>
            <w:tcW w:w="1814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7116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Периоды</w:t>
            </w:r>
          </w:p>
        </w:tc>
      </w:tr>
      <w:tr w:rsidR="00BF4571">
        <w:tc>
          <w:tcPr>
            <w:tcW w:w="1814" w:type="dxa"/>
            <w:vMerge/>
          </w:tcPr>
          <w:p w:rsidR="00BF4571" w:rsidRDefault="00BF4571"/>
        </w:tc>
        <w:tc>
          <w:tcPr>
            <w:tcW w:w="357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2022 г.</w:t>
            </w:r>
          </w:p>
        </w:tc>
        <w:tc>
          <w:tcPr>
            <w:tcW w:w="354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 г.</w:t>
            </w:r>
          </w:p>
        </w:tc>
      </w:tr>
      <w:tr w:rsidR="00BF4571"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Жилищная обеспеченность (кв. м/чел.)</w:t>
            </w:r>
          </w:p>
        </w:tc>
        <w:tc>
          <w:tcPr>
            <w:tcW w:w="357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 соответствии с требованиями свода правил "Градостроительство. Планировка и застройка городских и сельских поселений. Актуализированная редакция СНиП 2.07.01-89 *"</w:t>
            </w:r>
          </w:p>
        </w:tc>
        <w:tc>
          <w:tcPr>
            <w:tcW w:w="354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 соответствии с требованиями свода правил "Градостроительство. Планировка и застройка городских и сельских поселений. Актуализированная редакция СНиП 2.07.01-89 *"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3. Расчетные показатели в отношении структурной организации и плотности жилых кварталов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Таблица 3. Коэффициент плотности застройки жилых зон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117"/>
      </w:tblGrid>
      <w:tr w:rsidR="00BF4571">
        <w:tc>
          <w:tcPr>
            <w:tcW w:w="49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 жилищного фонда по наименованию функциональных зон</w:t>
            </w:r>
          </w:p>
        </w:tc>
        <w:tc>
          <w:tcPr>
            <w:tcW w:w="41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плотности застройки</w:t>
            </w:r>
          </w:p>
        </w:tc>
      </w:tr>
      <w:tr w:rsidR="00BF4571">
        <w:tc>
          <w:tcPr>
            <w:tcW w:w="49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многоэтажная</w:t>
            </w:r>
          </w:p>
        </w:tc>
        <w:tc>
          <w:tcPr>
            <w:tcW w:w="41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F4571">
        <w:tc>
          <w:tcPr>
            <w:tcW w:w="49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среднеэтажная</w:t>
            </w:r>
          </w:p>
        </w:tc>
        <w:tc>
          <w:tcPr>
            <w:tcW w:w="41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BF4571">
        <w:tc>
          <w:tcPr>
            <w:tcW w:w="49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малоэтажная</w:t>
            </w:r>
          </w:p>
        </w:tc>
        <w:tc>
          <w:tcPr>
            <w:tcW w:w="41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 xml:space="preserve">Глава 2. РАСЧЕТНЫЕ ПОКАЗАТЕЛИ В СФЕРЕ </w:t>
      </w:r>
      <w:proofErr w:type="gramStart"/>
      <w:r>
        <w:rPr>
          <w:rFonts w:ascii="Calibri" w:hAnsi="Calibri" w:cs="Calibri"/>
          <w:b/>
        </w:rPr>
        <w:t>СОЦИАЛЬНОГО</w:t>
      </w:r>
      <w:proofErr w:type="gramEnd"/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КУЛЬТУРНО-БЫТОВОГО ОБЕСПЕЧЕНИЯ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4. Расчетные показатели обеспеченности образовательными учреждениями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4. Нормы расчета образовательных учреждений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ectPr w:rsidR="00BF4571" w:rsidSect="00CD4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04"/>
        <w:gridCol w:w="1276"/>
        <w:gridCol w:w="2064"/>
        <w:gridCol w:w="2897"/>
      </w:tblGrid>
      <w:tr w:rsidR="00BF4571">
        <w:tc>
          <w:tcPr>
            <w:tcW w:w="20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Объекты</w:t>
            </w:r>
          </w:p>
        </w:tc>
        <w:tc>
          <w:tcPr>
            <w:tcW w:w="130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  <w:tc>
          <w:tcPr>
            <w:tcW w:w="206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земельного участка</w:t>
            </w:r>
          </w:p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  <w:r>
              <w:rPr>
                <w:rFonts w:ascii="Calibri" w:hAnsi="Calibri" w:cs="Calibri"/>
              </w:rPr>
              <w:t>/единица измерения)</w:t>
            </w:r>
          </w:p>
        </w:tc>
        <w:tc>
          <w:tcPr>
            <w:tcW w:w="289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BF4571">
        <w:tc>
          <w:tcPr>
            <w:tcW w:w="20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Общеобразовательные школы</w:t>
            </w:r>
          </w:p>
        </w:tc>
        <w:tc>
          <w:tcPr>
            <w:tcW w:w="130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 на 1 тыс. чел.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064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 вместимости учреждения: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до 400 - 50 кв. м на одного учащегося;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от 400 до 500 - 60 кв. м на одного учащегося;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от 500 до 600 - 50 кв. м на одного учащегося;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от 600 до 800 - 40 кв. м на одного учащегося;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от 800 до 1100 - 33 кв. м на одного учащегося</w:t>
            </w:r>
          </w:p>
        </w:tc>
        <w:tc>
          <w:tcPr>
            <w:tcW w:w="2897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нормируемый радиус обслуживания: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- 500 м;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- 800 м в условиях стесненной городской застройки и труднодоступной местности.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</w:t>
            </w:r>
            <w:hyperlink r:id="rId13">
              <w:r>
                <w:rPr>
                  <w:rFonts w:ascii="Calibri" w:hAnsi="Calibri" w:cs="Calibri"/>
                  <w:color w:val="0000FF"/>
                </w:rPr>
                <w:t>СП 2.4.3648</w:t>
              </w:r>
            </w:hyperlink>
          </w:p>
        </w:tc>
      </w:tr>
      <w:tr w:rsidR="00BF4571">
        <w:tc>
          <w:tcPr>
            <w:tcW w:w="20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Дошкольные образовательные учреждения</w:t>
            </w:r>
          </w:p>
        </w:tc>
        <w:tc>
          <w:tcPr>
            <w:tcW w:w="130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 на 1 тыс. чел.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64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 вместимости учреждения: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100 мест - 40 кв. м на одно место;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свыше 100 мест - 35 кв. м на одно место;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 комплексе яслей-садов свыше 500 мест - 30 кв. м на одно место</w:t>
            </w:r>
          </w:p>
        </w:tc>
        <w:tc>
          <w:tcPr>
            <w:tcW w:w="2897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нормируемый радиус обслуживания: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- 500 м;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- 800 м в условиях стесненной городской застройки и </w:t>
            </w:r>
            <w:r>
              <w:rPr>
                <w:rFonts w:ascii="Calibri" w:hAnsi="Calibri" w:cs="Calibri"/>
              </w:rPr>
              <w:lastRenderedPageBreak/>
              <w:t>труднодоступной местности.</w:t>
            </w:r>
          </w:p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</w:t>
            </w:r>
            <w:hyperlink r:id="rId14">
              <w:r>
                <w:rPr>
                  <w:rFonts w:ascii="Calibri" w:hAnsi="Calibri" w:cs="Calibri"/>
                  <w:color w:val="0000FF"/>
                </w:rPr>
                <w:t>СП 2.4.3648</w:t>
              </w:r>
            </w:hyperlink>
          </w:p>
        </w:tc>
      </w:tr>
    </w:tbl>
    <w:p w:rsidR="00BF4571" w:rsidRDefault="00BF4571">
      <w:pPr>
        <w:sectPr w:rsidR="00BF45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Размеры земельных участков образовательных учреждений в условиях реконструкции могут быть уменьшены на 20%.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Площадь </w:t>
      </w:r>
      <w:proofErr w:type="gramStart"/>
      <w:r>
        <w:rPr>
          <w:rFonts w:ascii="Calibri" w:hAnsi="Calibri" w:cs="Calibri"/>
        </w:rPr>
        <w:t>групповой</w:t>
      </w:r>
      <w:proofErr w:type="gramEnd"/>
      <w:r>
        <w:rPr>
          <w:rFonts w:ascii="Calibri" w:hAnsi="Calibri" w:cs="Calibri"/>
        </w:rPr>
        <w:t xml:space="preserve"> для детей ясельного возраста следует принимать 7,5 кв. м на одно место.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Площадь теневого навеса на одного ребенка - 1,6 кв. м/</w:t>
      </w:r>
      <w:proofErr w:type="spell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>., но не менее 30 кв. м на группу детей.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4.1. Определение количества участковых уполномоченных полиции из расчета на количество постоянно проживающего населения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Количество постоянно проживающего населения, тыс. чел.</w:t>
            </w:r>
          </w:p>
        </w:tc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Количество участковых уполномоченных полиции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2,8 - 3</w:t>
            </w:r>
          </w:p>
        </w:tc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9 - 12</w:t>
            </w:r>
          </w:p>
        </w:tc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&gt; 12</w:t>
            </w:r>
          </w:p>
        </w:tc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 + 1 участковый уполномоченный на каждые последующие 3 тыс. чел. сверх 15 тыс. постоянно проживающего населения</w:t>
            </w:r>
          </w:p>
        </w:tc>
      </w:tr>
      <w:tr w:rsidR="00BF4571">
        <w:tc>
          <w:tcPr>
            <w:tcW w:w="9071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Примечание: Радиус обслуживания участкового пункта полиции в условиях городского населенного пункта следует устанавливать в 1 - 1,5 км до самого дальнего объекта участка.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5. Расчетные показатели обеспеченности объектами физической культуры и спорта местного значения</w:t>
      </w:r>
    </w:p>
    <w:p w:rsidR="00BF4571" w:rsidRDefault="00BF4571">
      <w:pPr>
        <w:spacing w:after="1" w:line="220" w:lineRule="auto"/>
        <w:ind w:firstLine="540"/>
        <w:jc w:val="both"/>
      </w:pPr>
    </w:p>
    <w:bookmarkStart w:id="3" w:name="P172"/>
    <w:bookmarkEnd w:id="3"/>
    <w:p w:rsidR="00BF4571" w:rsidRDefault="00BF4571">
      <w:pPr>
        <w:spacing w:after="1" w:line="220" w:lineRule="auto"/>
        <w:ind w:firstLine="540"/>
        <w:jc w:val="both"/>
      </w:pPr>
      <w:r>
        <w:fldChar w:fldCharType="begin"/>
      </w:r>
      <w:r>
        <w:instrText xml:space="preserve"> HYPERLINK \l "P172" \h </w:instrText>
      </w:r>
      <w:r>
        <w:fldChar w:fldCharType="separate"/>
      </w:r>
      <w:r>
        <w:rPr>
          <w:rFonts w:ascii="Calibri" w:hAnsi="Calibri" w:cs="Calibri"/>
          <w:color w:val="0000FF"/>
        </w:rPr>
        <w:t>Таблица 5</w:t>
      </w:r>
      <w:r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>. Нормативы обеспеченности объектами физической культуры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88"/>
        <w:gridCol w:w="2494"/>
      </w:tblGrid>
      <w:tr w:rsidR="00BF4571">
        <w:tc>
          <w:tcPr>
            <w:tcW w:w="323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объектов</w:t>
            </w:r>
          </w:p>
        </w:tc>
        <w:tc>
          <w:tcPr>
            <w:tcW w:w="328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 в расчете на 1 тыс. чел.</w:t>
            </w:r>
          </w:p>
        </w:tc>
        <w:tc>
          <w:tcPr>
            <w:tcW w:w="249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323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Стадионы</w:t>
            </w:r>
          </w:p>
        </w:tc>
        <w:tc>
          <w:tcPr>
            <w:tcW w:w="328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 на трибунах</w:t>
            </w:r>
          </w:p>
        </w:tc>
        <w:tc>
          <w:tcPr>
            <w:tcW w:w="249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BF4571">
        <w:tc>
          <w:tcPr>
            <w:tcW w:w="323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Спортзалы</w:t>
            </w:r>
          </w:p>
        </w:tc>
        <w:tc>
          <w:tcPr>
            <w:tcW w:w="3288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площади пола</w:t>
            </w:r>
          </w:p>
        </w:tc>
        <w:tc>
          <w:tcPr>
            <w:tcW w:w="249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  <w:tr w:rsidR="00BF4571">
        <w:tc>
          <w:tcPr>
            <w:tcW w:w="323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Бассейны</w:t>
            </w:r>
          </w:p>
        </w:tc>
        <w:tc>
          <w:tcPr>
            <w:tcW w:w="3288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зеркала воды</w:t>
            </w:r>
          </w:p>
        </w:tc>
        <w:tc>
          <w:tcPr>
            <w:tcW w:w="249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6. Расчетные показатели обеспеченности объектами культуры и социального обеспечения местного значения</w:t>
      </w:r>
    </w:p>
    <w:p w:rsidR="00BF4571" w:rsidRDefault="00BF4571">
      <w:pPr>
        <w:spacing w:after="1" w:line="220" w:lineRule="auto"/>
        <w:ind w:firstLine="540"/>
        <w:jc w:val="both"/>
      </w:pPr>
    </w:p>
    <w:bookmarkStart w:id="4" w:name="P189"/>
    <w:bookmarkEnd w:id="4"/>
    <w:p w:rsidR="00BF4571" w:rsidRDefault="00BF4571">
      <w:pPr>
        <w:spacing w:after="1" w:line="220" w:lineRule="auto"/>
        <w:ind w:firstLine="540"/>
        <w:jc w:val="both"/>
      </w:pPr>
      <w:r>
        <w:fldChar w:fldCharType="begin"/>
      </w:r>
      <w:r>
        <w:instrText xml:space="preserve"> HYPERLINK \l "P189" \h </w:instrText>
      </w:r>
      <w:r>
        <w:fldChar w:fldCharType="separate"/>
      </w:r>
      <w:r>
        <w:rPr>
          <w:rFonts w:ascii="Calibri" w:hAnsi="Calibri" w:cs="Calibri"/>
          <w:color w:val="0000FF"/>
        </w:rPr>
        <w:t>Таблица 6</w:t>
      </w:r>
      <w:r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>. Нормативы обеспеченности объектами культуры и социального обеспечения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608"/>
        <w:gridCol w:w="1814"/>
      </w:tblGrid>
      <w:tr w:rsidR="00BF4571">
        <w:tc>
          <w:tcPr>
            <w:tcW w:w="464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объектов</w:t>
            </w:r>
          </w:p>
        </w:tc>
        <w:tc>
          <w:tcPr>
            <w:tcW w:w="260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 в расчете на 1 тыс. чел.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464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Учреждения клубного типа, дома культуры и прочие развлекательные учреждения, </w:t>
            </w:r>
            <w:r>
              <w:rPr>
                <w:rFonts w:ascii="Calibri" w:hAnsi="Calibri" w:cs="Calibri"/>
              </w:rPr>
              <w:lastRenderedPageBreak/>
              <w:t>кинотеатры</w:t>
            </w:r>
          </w:p>
        </w:tc>
        <w:tc>
          <w:tcPr>
            <w:tcW w:w="260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мест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BF4571">
        <w:tc>
          <w:tcPr>
            <w:tcW w:w="464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Театры</w:t>
            </w:r>
          </w:p>
        </w:tc>
        <w:tc>
          <w:tcPr>
            <w:tcW w:w="260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F4571">
        <w:tc>
          <w:tcPr>
            <w:tcW w:w="464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Концертные залы, филармонии</w:t>
            </w:r>
          </w:p>
        </w:tc>
        <w:tc>
          <w:tcPr>
            <w:tcW w:w="260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BF4571">
        <w:tc>
          <w:tcPr>
            <w:tcW w:w="464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Музеи</w:t>
            </w:r>
          </w:p>
        </w:tc>
        <w:tc>
          <w:tcPr>
            <w:tcW w:w="260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посещений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 заданию на проектирование</w:t>
            </w:r>
          </w:p>
        </w:tc>
      </w:tr>
      <w:tr w:rsidR="00BF4571">
        <w:tc>
          <w:tcPr>
            <w:tcW w:w="464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Библиотеки</w:t>
            </w:r>
          </w:p>
        </w:tc>
        <w:tc>
          <w:tcPr>
            <w:tcW w:w="260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тыс. томов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7. Расчетные показатели обеспеченности объектами торговли и общественного питания местного значения</w:t>
      </w:r>
    </w:p>
    <w:p w:rsidR="00BF4571" w:rsidRDefault="00BF4571">
      <w:pPr>
        <w:spacing w:after="1" w:line="220" w:lineRule="auto"/>
        <w:ind w:firstLine="540"/>
        <w:jc w:val="both"/>
      </w:pPr>
    </w:p>
    <w:bookmarkStart w:id="5" w:name="P212"/>
    <w:bookmarkEnd w:id="5"/>
    <w:p w:rsidR="00BF4571" w:rsidRDefault="00BF4571">
      <w:pPr>
        <w:spacing w:after="1" w:line="220" w:lineRule="auto"/>
        <w:ind w:firstLine="540"/>
        <w:jc w:val="both"/>
      </w:pPr>
      <w:r>
        <w:fldChar w:fldCharType="begin"/>
      </w:r>
      <w:r>
        <w:instrText xml:space="preserve"> HYPERLINK \l "P212" \h </w:instrText>
      </w:r>
      <w:r>
        <w:fldChar w:fldCharType="separate"/>
      </w:r>
      <w:r>
        <w:rPr>
          <w:rFonts w:ascii="Calibri" w:hAnsi="Calibri" w:cs="Calibri"/>
          <w:color w:val="0000FF"/>
        </w:rPr>
        <w:t>Таблица 7</w:t>
      </w:r>
      <w:r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>. Нормативы обеспеченности объектами торговли и общественного питания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977"/>
        <w:gridCol w:w="1757"/>
      </w:tblGrid>
      <w:tr w:rsidR="00BF4571">
        <w:tc>
          <w:tcPr>
            <w:tcW w:w="430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объектов</w:t>
            </w:r>
          </w:p>
        </w:tc>
        <w:tc>
          <w:tcPr>
            <w:tcW w:w="297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 в расчете на 1 тыс. чел.</w:t>
            </w:r>
          </w:p>
        </w:tc>
        <w:tc>
          <w:tcPr>
            <w:tcW w:w="175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430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Предприятия торговли</w:t>
            </w:r>
          </w:p>
        </w:tc>
        <w:tc>
          <w:tcPr>
            <w:tcW w:w="2977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торговой площади</w:t>
            </w:r>
          </w:p>
        </w:tc>
        <w:tc>
          <w:tcPr>
            <w:tcW w:w="175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BF4571">
        <w:tc>
          <w:tcPr>
            <w:tcW w:w="430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Предприятия общественного питания (рестораны, кафе, столовые)</w:t>
            </w:r>
          </w:p>
        </w:tc>
        <w:tc>
          <w:tcPr>
            <w:tcW w:w="297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посадочных мест</w:t>
            </w:r>
          </w:p>
        </w:tc>
        <w:tc>
          <w:tcPr>
            <w:tcW w:w="175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8. Расчетные показатели обеспеченности объектами социального и коммунально-бытового обеспечения местного значения</w:t>
      </w:r>
    </w:p>
    <w:p w:rsidR="00BF4571" w:rsidRDefault="00BF4571">
      <w:pPr>
        <w:spacing w:after="1" w:line="220" w:lineRule="auto"/>
        <w:ind w:firstLine="540"/>
        <w:jc w:val="both"/>
      </w:pPr>
    </w:p>
    <w:bookmarkStart w:id="6" w:name="P226"/>
    <w:bookmarkEnd w:id="6"/>
    <w:p w:rsidR="00BF4571" w:rsidRDefault="00BF4571">
      <w:pPr>
        <w:spacing w:after="1" w:line="220" w:lineRule="auto"/>
        <w:ind w:firstLine="540"/>
        <w:jc w:val="both"/>
      </w:pPr>
      <w:r>
        <w:fldChar w:fldCharType="begin"/>
      </w:r>
      <w:r>
        <w:instrText xml:space="preserve"> HYPERLINK \l "P226" \h </w:instrText>
      </w:r>
      <w:r>
        <w:fldChar w:fldCharType="separate"/>
      </w:r>
      <w:r>
        <w:rPr>
          <w:rFonts w:ascii="Calibri" w:hAnsi="Calibri" w:cs="Calibri"/>
          <w:color w:val="0000FF"/>
        </w:rPr>
        <w:t>Таблица 8</w:t>
      </w:r>
      <w:r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>. Нормативы обеспеченности объектами социального и коммунально-бытового обеспечения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721"/>
        <w:gridCol w:w="1814"/>
      </w:tblGrid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объектов</w:t>
            </w:r>
          </w:p>
        </w:tc>
        <w:tc>
          <w:tcPr>
            <w:tcW w:w="272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 в расчете на 1 тыс. чел.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Предприятия бытового обслуживания</w:t>
            </w:r>
          </w:p>
        </w:tc>
        <w:tc>
          <w:tcPr>
            <w:tcW w:w="272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рабочих мест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Бани, сауны</w:t>
            </w:r>
          </w:p>
        </w:tc>
        <w:tc>
          <w:tcPr>
            <w:tcW w:w="272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Гостиницы</w:t>
            </w:r>
          </w:p>
        </w:tc>
        <w:tc>
          <w:tcPr>
            <w:tcW w:w="272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Учреждения и предприятия социально гарантированного обслуживания следует размещать на территориях, приближенных к местам жительства и работы основной массы населения, в составе общественных центров и в увязке с системой общественного пассажирского транспорта, соблюдая пределы транспортной доступности для объектов обслуживания и их комплексов: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повседневного посещения - не более 30 мин.;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периодического - не более 1 ч.;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эпизодического - не более 2 ч.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8.1. Расчетные показатели обеспеченности помещениями участковых уполномоченных полиции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1984"/>
      </w:tblGrid>
      <w:tr w:rsidR="00BF4571">
        <w:tc>
          <w:tcPr>
            <w:tcW w:w="396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объектов</w:t>
            </w:r>
          </w:p>
        </w:tc>
        <w:tc>
          <w:tcPr>
            <w:tcW w:w="297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 в расчете на 1 рабочее место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3969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Помещение участкового уполномоченного полиции</w:t>
            </w:r>
          </w:p>
        </w:tc>
        <w:tc>
          <w:tcPr>
            <w:tcW w:w="2977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/ минимально допустимый уровень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12,00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 xml:space="preserve">Глава 3. РАСЧЕТНЫЕ ПОКАЗАТЕЛИ </w:t>
      </w:r>
      <w:proofErr w:type="gramStart"/>
      <w:r>
        <w:rPr>
          <w:rFonts w:ascii="Calibri" w:hAnsi="Calibri" w:cs="Calibri"/>
          <w:b/>
        </w:rPr>
        <w:t>ОЗЕЛЕНЕННЫХ</w:t>
      </w:r>
      <w:proofErr w:type="gramEnd"/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ТЕРРИТОРИЙ И ЗЕЛЕНЫХ ЗОН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9. Расчетные показатели минимально допустимой площади озелененных территорий общего пользования в границах городского округа "Город Архангельск"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Расчетные показатели минимально допустимой площади озелененных территорий общего пользования устанавливаются региональными нормативами градостроительного проектирования Архангельской области.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4. РАСЧЕТНЫЕ ПОКАЗАТЕЛИ ОБЕСПЕЧЕННОСТИ ОБЪЕКТАМИ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ТРАНСПОРТНОЙ ИНФРАСТРУКТУРЫ, СИСТЕМАМИ </w:t>
      </w:r>
      <w:proofErr w:type="gramStart"/>
      <w:r>
        <w:rPr>
          <w:rFonts w:ascii="Calibri" w:hAnsi="Calibri" w:cs="Calibri"/>
          <w:b/>
        </w:rPr>
        <w:t>ПАССАЖИРСКОГО</w:t>
      </w:r>
      <w:proofErr w:type="gramEnd"/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ОБЩЕСТВЕННОГО ТРАНСПОРТА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10. Объекты транспортной инфраструктуры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9. Классификация и основное назначение улиц и дорог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ectPr w:rsidR="00BF45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587"/>
        <w:gridCol w:w="4592"/>
        <w:gridCol w:w="1275"/>
        <w:gridCol w:w="1134"/>
        <w:gridCol w:w="1134"/>
        <w:gridCol w:w="1134"/>
        <w:gridCol w:w="1020"/>
        <w:gridCol w:w="1162"/>
      </w:tblGrid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Категория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Основное назначение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Расчетная скорость движения (</w:t>
            </w: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  <w:r>
              <w:rPr>
                <w:rFonts w:ascii="Calibri" w:hAnsi="Calibri" w:cs="Calibri"/>
              </w:rPr>
              <w:t>/ч)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Ширина полосы движения (м)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Число полос движения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Наименьий</w:t>
            </w:r>
            <w:proofErr w:type="spellEnd"/>
            <w:r>
              <w:rPr>
                <w:rFonts w:ascii="Calibri" w:hAnsi="Calibri" w:cs="Calibri"/>
              </w:rPr>
              <w:t xml:space="preserve"> радиус кривых в плане (м)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Наибольий</w:t>
            </w:r>
            <w:proofErr w:type="spellEnd"/>
            <w:r>
              <w:rPr>
                <w:rFonts w:ascii="Calibri" w:hAnsi="Calibri" w:cs="Calibri"/>
              </w:rPr>
              <w:t xml:space="preserve"> продольный уклон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Ширина улиц и дорог в красных линиях (м)</w:t>
            </w:r>
          </w:p>
        </w:tc>
      </w:tr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Магистральные дороги регулируемого движения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Транспортная связь между районами на отдельных направлениях и участках преимущественно грузового движения, осуществляемого вне жилой застройки, выходы на внешние автомобильные дороги, пересечения с улицами и дорогами, как правило, в одном уровне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3,75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2 - 6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70 - 100</w:t>
            </w:r>
          </w:p>
        </w:tc>
      </w:tr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Транспортная связь между жилыми, промышленными районами и центром города, планировочными районами, выходы на магистральные улицы и дороги и внешние автомобильные дороги. Пересечения с магистральными улицами и дорогами, как правило, в одном уровне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4 - 6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40 - 100</w:t>
            </w:r>
          </w:p>
        </w:tc>
      </w:tr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Магистральные улицы районного значения транспортно-пешеходные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Транспортная и пешеходная связи между жилыми районами, а также между жилыми и промышленными районами, общественными центрами, выходы на другие магистральные улицы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2 - 4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40 - 100</w:t>
            </w:r>
          </w:p>
        </w:tc>
      </w:tr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Магистральные улицы районного значения </w:t>
            </w:r>
            <w:proofErr w:type="spellStart"/>
            <w:r>
              <w:rPr>
                <w:rFonts w:ascii="Calibri" w:hAnsi="Calibri" w:cs="Calibri"/>
              </w:rPr>
              <w:t>пешеходно</w:t>
            </w:r>
            <w:proofErr w:type="spellEnd"/>
            <w:r>
              <w:rPr>
                <w:rFonts w:ascii="Calibri" w:hAnsi="Calibri" w:cs="Calibri"/>
              </w:rPr>
              <w:t>-транспортные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Пешеходная и транспортная связи (преимущественно общественный пассажирский транспорт) в пределах планировочного района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2 - 4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40 - 100</w:t>
            </w:r>
          </w:p>
        </w:tc>
      </w:tr>
      <w:tr w:rsidR="00BF4571">
        <w:tc>
          <w:tcPr>
            <w:tcW w:w="1191" w:type="dxa"/>
            <w:vMerge w:val="restart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Улицы и дороги местного </w:t>
            </w:r>
            <w:r>
              <w:rPr>
                <w:rFonts w:ascii="Calibri" w:hAnsi="Calibri" w:cs="Calibri"/>
              </w:rPr>
              <w:lastRenderedPageBreak/>
              <w:t>значения</w:t>
            </w:r>
          </w:p>
        </w:tc>
        <w:tc>
          <w:tcPr>
            <w:tcW w:w="1587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Улицы в жилой застройке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Транспортная (без пропуска грузового и общественного транспорта) и пешеходная связи на территории жилых районов (микрорайонов), выходы на магистральные </w:t>
            </w:r>
            <w:r>
              <w:rPr>
                <w:rFonts w:ascii="Calibri" w:hAnsi="Calibri" w:cs="Calibri"/>
              </w:rPr>
              <w:lastRenderedPageBreak/>
              <w:t>улицы и дороги регулируемого движения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2 - 3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15 -25</w:t>
            </w:r>
          </w:p>
        </w:tc>
      </w:tr>
      <w:tr w:rsidR="00BF4571">
        <w:tc>
          <w:tcPr>
            <w:tcW w:w="1191" w:type="dxa"/>
            <w:vMerge/>
          </w:tcPr>
          <w:p w:rsidR="00BF4571" w:rsidRDefault="00BF4571"/>
        </w:tc>
        <w:tc>
          <w:tcPr>
            <w:tcW w:w="1587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Улицы и дороги в научно-производственных, промышленных и коммунально-складских зонах (районах)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Транспортная связь преимущественно легкового и грузового транспорта в пределах зон (районов), выходы на магистральные городские дороги. Пересечения с улицами и дорогами устраиваются в одном уровне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15 - 25</w:t>
            </w:r>
          </w:p>
        </w:tc>
      </w:tr>
      <w:tr w:rsidR="00BF4571">
        <w:tc>
          <w:tcPr>
            <w:tcW w:w="1191" w:type="dxa"/>
            <w:vMerge/>
          </w:tcPr>
          <w:p w:rsidR="00BF4571" w:rsidRDefault="00BF4571"/>
        </w:tc>
        <w:tc>
          <w:tcPr>
            <w:tcW w:w="1587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Парковые дороги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</w:pPr>
          </w:p>
        </w:tc>
      </w:tr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Проезды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Подъезд транспортных сре</w:t>
            </w:r>
            <w:proofErr w:type="gramStart"/>
            <w:r>
              <w:rPr>
                <w:rFonts w:ascii="Calibri" w:hAnsi="Calibri" w:cs="Calibri"/>
              </w:rPr>
              <w:t>дств к ж</w:t>
            </w:r>
            <w:proofErr w:type="gramEnd"/>
            <w:r>
              <w:rPr>
                <w:rFonts w:ascii="Calibri" w:hAnsi="Calibri" w:cs="Calibri"/>
              </w:rPr>
              <w:t>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3,0 - 5,5 &lt;1&gt;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</w:pPr>
          </w:p>
        </w:tc>
      </w:tr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Пешеходные улицы и дороги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 расчету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 расчету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</w:pPr>
          </w:p>
        </w:tc>
      </w:tr>
      <w:tr w:rsidR="00BF4571">
        <w:tc>
          <w:tcPr>
            <w:tcW w:w="2778" w:type="dxa"/>
            <w:gridSpan w:val="2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Велосипедные дорожки</w:t>
            </w:r>
          </w:p>
        </w:tc>
        <w:tc>
          <w:tcPr>
            <w:tcW w:w="4592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Проезд на велосипедах по свободным от других видов транспортного движения трассам к местам отдыха, общественным центрам</w:t>
            </w:r>
          </w:p>
        </w:tc>
        <w:tc>
          <w:tcPr>
            <w:tcW w:w="12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1 - 2</w:t>
            </w:r>
          </w:p>
        </w:tc>
        <w:tc>
          <w:tcPr>
            <w:tcW w:w="113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2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62" w:type="dxa"/>
          </w:tcPr>
          <w:p w:rsidR="00BF4571" w:rsidRDefault="00BF4571">
            <w:pPr>
              <w:spacing w:after="1" w:line="220" w:lineRule="auto"/>
            </w:pPr>
          </w:p>
        </w:tc>
      </w:tr>
    </w:tbl>
    <w:p w:rsidR="00BF4571" w:rsidRDefault="00BF4571">
      <w:pPr>
        <w:sectPr w:rsidR="00BF45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Большее значение ширины полосы движения принимать при однополосном проезде.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На магистральных дорогах с преимущественным движением грузовых автомобилей следует увеличивать ширину полосы движения до 4 м, а при доле большегрузных автомобилей в транспортном потоке более 20% - до 4,5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Вдоль проездов должны предусматриваться места для временного складирования снега, счищаемого с проездов, в виде полос с твердым покрытием шириной не менее 1,5 м; магистральных улиц - 3 м.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11. Системы пассажирского общественного транспорта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10. Расчетные показатели систем пассажирского общественного транспорта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5"/>
        <w:gridCol w:w="1984"/>
      </w:tblGrid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Максимальное расстояние между остановочными пунктами на линиях общественного пассажирского транспорта (м)</w:t>
            </w:r>
          </w:p>
        </w:tc>
        <w:tc>
          <w:tcPr>
            <w:tcW w:w="481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Ширина крайней полосы для движения автобусов на магистральных улицах и дорогах (м)</w:t>
            </w:r>
          </w:p>
        </w:tc>
        <w:tc>
          <w:tcPr>
            <w:tcW w:w="481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BF4571">
        <w:tc>
          <w:tcPr>
            <w:tcW w:w="4195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Размещение остановочных площадок автобусов</w:t>
            </w:r>
          </w:p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 перекрестками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не менее 25 м до </w:t>
            </w:r>
            <w:proofErr w:type="gramStart"/>
            <w:r>
              <w:rPr>
                <w:rFonts w:ascii="Calibri" w:hAnsi="Calibri" w:cs="Calibri"/>
              </w:rPr>
              <w:t>стоп-линии</w:t>
            </w:r>
            <w:proofErr w:type="gramEnd"/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перед перекрестками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не менее 40 м до </w:t>
            </w:r>
            <w:proofErr w:type="gramStart"/>
            <w:r>
              <w:rPr>
                <w:rFonts w:ascii="Calibri" w:hAnsi="Calibri" w:cs="Calibri"/>
              </w:rPr>
              <w:t>стоп-линии</w:t>
            </w:r>
            <w:proofErr w:type="gramEnd"/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 наземными пешеходными переходами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менее 5 м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Длина остановочной площадки (м)</w:t>
            </w:r>
          </w:p>
        </w:tc>
        <w:tc>
          <w:tcPr>
            <w:tcW w:w="481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 м на один автобус, но не более 60 м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Ширина остановочной площадки в заездном кармане (м)</w:t>
            </w:r>
          </w:p>
        </w:tc>
        <w:tc>
          <w:tcPr>
            <w:tcW w:w="481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равна</w:t>
            </w:r>
            <w:proofErr w:type="gramEnd"/>
            <w:r>
              <w:rPr>
                <w:rFonts w:ascii="Calibri" w:hAnsi="Calibri" w:cs="Calibri"/>
              </w:rPr>
              <w:t xml:space="preserve"> ширине основных полос проезжей части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Ширина </w:t>
            </w:r>
            <w:proofErr w:type="spellStart"/>
            <w:r>
              <w:rPr>
                <w:rFonts w:ascii="Calibri" w:hAnsi="Calibri" w:cs="Calibri"/>
              </w:rPr>
              <w:t>отстойно</w:t>
            </w:r>
            <w:proofErr w:type="spellEnd"/>
            <w:r>
              <w:rPr>
                <w:rFonts w:ascii="Calibri" w:hAnsi="Calibri" w:cs="Calibri"/>
              </w:rPr>
              <w:t>-разворотной площадки (м)</w:t>
            </w:r>
          </w:p>
        </w:tc>
        <w:tc>
          <w:tcPr>
            <w:tcW w:w="481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менее 30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Расстояние от </w:t>
            </w:r>
            <w:proofErr w:type="spellStart"/>
            <w:r>
              <w:rPr>
                <w:rFonts w:ascii="Calibri" w:hAnsi="Calibri" w:cs="Calibri"/>
              </w:rPr>
              <w:t>отстойно</w:t>
            </w:r>
            <w:proofErr w:type="spellEnd"/>
            <w:r>
              <w:rPr>
                <w:rFonts w:ascii="Calibri" w:hAnsi="Calibri" w:cs="Calibri"/>
              </w:rPr>
              <w:t>-разворотной площадки до жилой застройки (м)</w:t>
            </w:r>
          </w:p>
        </w:tc>
        <w:tc>
          <w:tcPr>
            <w:tcW w:w="481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менее 50</w:t>
            </w:r>
          </w:p>
        </w:tc>
      </w:tr>
      <w:tr w:rsidR="00BF4571">
        <w:tc>
          <w:tcPr>
            <w:tcW w:w="4195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Площадь земельных участков для размещения автобусных парков (гаражей) в зависимости от вместимости сооружений (</w:t>
            </w: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100 машин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200 машин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300 машин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500 машин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BF4571">
        <w:tc>
          <w:tcPr>
            <w:tcW w:w="4195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Вместимость автостанции (пассажиров)</w:t>
            </w:r>
          </w:p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100 до 200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200 до 400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400 до 600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600 до 1000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BF4571">
        <w:tc>
          <w:tcPr>
            <w:tcW w:w="4195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Количество постов (посадки/высадки)</w:t>
            </w:r>
          </w:p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100 до 200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 (1/1)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200 до 400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 (2/1)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400 до 600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 (2/1)</w:t>
            </w:r>
          </w:p>
        </w:tc>
      </w:tr>
      <w:tr w:rsidR="00BF4571">
        <w:tc>
          <w:tcPr>
            <w:tcW w:w="4195" w:type="dxa"/>
            <w:vMerge/>
          </w:tcPr>
          <w:p w:rsidR="00BF4571" w:rsidRDefault="00BF4571"/>
        </w:tc>
        <w:tc>
          <w:tcPr>
            <w:tcW w:w="28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расчетном суточном отправлении от 600 до 1000</w:t>
            </w:r>
          </w:p>
        </w:tc>
        <w:tc>
          <w:tcPr>
            <w:tcW w:w="198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 (3/2)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12. Расчетные показатели минимально допустимого количества машино-мест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и иных функциональных зон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Расчетные показатели минимально допустимого количества машино-мест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и иных функциональных зон, устанавливаются региональными нормативами градостроительного проектирования Архангельской области.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5. РАСЧЕТНЫЕ ПОКАЗАТЕЛИ, УСТАНАВЛИВАЕМЫЕ ДЛЯ ОБЪЕКТОВ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ИНЖЕНЕРНОЙ ИНФРАСТРУКТУРЫ МЕСТНОГО ЗНАЧЕНИЯ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13. Расчетные показатели обеспеченности объектами электроснабжения</w:t>
      </w:r>
    </w:p>
    <w:p w:rsidR="00BF4571" w:rsidRDefault="00BF4571">
      <w:pPr>
        <w:spacing w:after="1" w:line="220" w:lineRule="auto"/>
        <w:ind w:firstLine="540"/>
        <w:jc w:val="both"/>
      </w:pPr>
    </w:p>
    <w:bookmarkStart w:id="7" w:name="P427"/>
    <w:bookmarkEnd w:id="7"/>
    <w:p w:rsidR="00BF4571" w:rsidRDefault="00BF4571">
      <w:pPr>
        <w:spacing w:after="1" w:line="220" w:lineRule="auto"/>
        <w:ind w:firstLine="540"/>
        <w:jc w:val="both"/>
      </w:pPr>
      <w:r>
        <w:fldChar w:fldCharType="begin"/>
      </w:r>
      <w:r>
        <w:instrText xml:space="preserve"> HYPERLINK \l "P427" \h </w:instrText>
      </w:r>
      <w:r>
        <w:fldChar w:fldCharType="separate"/>
      </w:r>
      <w:r>
        <w:rPr>
          <w:rFonts w:ascii="Calibri" w:hAnsi="Calibri" w:cs="Calibri"/>
          <w:color w:val="0000FF"/>
        </w:rPr>
        <w:t>Таблица 11</w:t>
      </w:r>
      <w:r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>. Нормативы, применяемые для расчетов системы электроснабжения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2324"/>
        <w:gridCol w:w="1417"/>
      </w:tblGrid>
      <w:tr w:rsidR="00BF4571">
        <w:tc>
          <w:tcPr>
            <w:tcW w:w="56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7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Функциональное назначение территории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56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7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Вт</w:t>
            </w:r>
            <w:proofErr w:type="gramEnd"/>
            <w:r>
              <w:rPr>
                <w:rFonts w:ascii="Calibri" w:hAnsi="Calibri" w:cs="Calibri"/>
              </w:rPr>
              <w:t>/кв. м общей площади зданий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F4571">
        <w:tc>
          <w:tcPr>
            <w:tcW w:w="56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7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Общественно-деловая застройка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Вт</w:t>
            </w:r>
            <w:proofErr w:type="gramEnd"/>
            <w:r>
              <w:rPr>
                <w:rFonts w:ascii="Calibri" w:hAnsi="Calibri" w:cs="Calibri"/>
              </w:rPr>
              <w:t>/кв. м общей площади зданий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BF4571">
        <w:tc>
          <w:tcPr>
            <w:tcW w:w="56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76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Застройка производственного и складского назначения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кВт/</w:t>
            </w: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 xml:space="preserve"> территории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12. Показатели электропотребления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041"/>
        <w:gridCol w:w="1984"/>
      </w:tblGrid>
      <w:tr w:rsidR="00BF4571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Степень благоустройства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Электропотребление (</w:t>
            </w:r>
            <w:proofErr w:type="gramStart"/>
            <w:r>
              <w:rPr>
                <w:rFonts w:ascii="Calibri" w:hAnsi="Calibri" w:cs="Calibri"/>
              </w:rPr>
              <w:t>кВт-ч</w:t>
            </w:r>
            <w:proofErr w:type="gramEnd"/>
            <w:r>
              <w:rPr>
                <w:rFonts w:ascii="Calibri" w:hAnsi="Calibri" w:cs="Calibri"/>
              </w:rPr>
              <w:t>/год на одного чел.)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Использование максимума электрической нагрузки (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>/год)</w:t>
            </w:r>
          </w:p>
        </w:tc>
      </w:tr>
      <w:tr w:rsidR="00BF457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Жилые объекты, не оборудованные стационарными электроплитами,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F4571" w:rsidRDefault="00BF4571">
            <w:pPr>
              <w:spacing w:after="1" w:line="220" w:lineRule="auto"/>
            </w:pPr>
          </w:p>
        </w:tc>
      </w:tr>
      <w:tr w:rsidR="00BF457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без кондиционеров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5200</w:t>
            </w:r>
          </w:p>
        </w:tc>
      </w:tr>
      <w:tr w:rsidR="00BF457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 кондиционерами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5700</w:t>
            </w:r>
          </w:p>
        </w:tc>
      </w:tr>
      <w:tr w:rsidR="00BF457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Жилые объекты, оборудованные стационарными электроплитами,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F4571" w:rsidRDefault="00BF4571">
            <w:pPr>
              <w:spacing w:after="1" w:line="220" w:lineRule="auto"/>
            </w:pPr>
          </w:p>
        </w:tc>
      </w:tr>
      <w:tr w:rsidR="00BF457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без кондиционеров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5300</w:t>
            </w:r>
          </w:p>
        </w:tc>
      </w:tr>
      <w:tr w:rsidR="00BF4571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 кондиционерами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5800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14. Расчетные показатели обеспеченности объектами водоснабжения и водоотведения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Норматив обеспеченности объектами водоснабжения и водоотведения принимается не менее 96,0 куб. м на одного человека в год.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Минимальные расчетные удельные среднесуточные расходы холодной и горячей воды на хозяйственно-питьевые нужды (без учета расходов на полив зеленых насаждений) жилой застройки на одного жителя устанавливаются на основании действующего свода правил "Водоснабжение. Наружные сети и сооружения. Актуализированная редакция СНиП 2.04.02-84*" (далее - СП 31.13330.2012).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Проектирование систем хозяйственно-питьевого водоснабжения и канализации населенных пунктов городского округа "Город Архангельск" следует производить в соответствии с требованиями СП 31.13330.2012, СП 32.13330.2012 "Канализация. Наружные сети. Актуализированная редакция СНиП 2.04.03-85" (далее - СП 32.13330.2012) с учетом санитарно-гигиенической надежности получения питьевой воды, экологических и ресурсосберегающих требований.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Проектирование дождевой канализации следует осуществлять на основании действующих нормативных документов: СП 32.13330.2012, СанПиН 2.1.5.980-00.2.1.5 "Водоотведение населенных мест, санитарная охрана водных объектов. Гигиенические требования к охране поверхностных вод", Водного </w:t>
      </w:r>
      <w:hyperlink r:id="rId15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РФ.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Для определения размеров отводящих труб необходимо учитывать расчетный максимальный расход дождевой воды, поступающей в сеть. Этот расход зависит от принятой расчетной интенсивности дождя, его продолжительности, коэффициента стока и площади водосбора.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Для ориентировочных расчетов суточный объем поверхностного стока, поступающий на очистные сооружения с территорий жилых и общественно-деловых зон, принимается в зависимости от структурной части территории (таблица 13).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13. Суточный объем поверхностного стока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678"/>
      </w:tblGrid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Межмагистральные</w:t>
            </w:r>
            <w:proofErr w:type="spellEnd"/>
            <w:r>
              <w:rPr>
                <w:rFonts w:ascii="Calibri" w:hAnsi="Calibri" w:cs="Calibri"/>
              </w:rPr>
              <w:t xml:space="preserve"> территории (</w:t>
            </w: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67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Объем поверхностных вод, поступающих на очистку (куб. м/</w:t>
            </w:r>
            <w:proofErr w:type="spellStart"/>
            <w:r>
              <w:rPr>
                <w:rFonts w:ascii="Calibri" w:hAnsi="Calibri" w:cs="Calibri"/>
              </w:rPr>
              <w:t>сут</w:t>
            </w:r>
            <w:proofErr w:type="spellEnd"/>
            <w:r>
              <w:rPr>
                <w:rFonts w:ascii="Calibri" w:hAnsi="Calibri" w:cs="Calibri"/>
              </w:rPr>
              <w:t>. с 1 га территории)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 5</w:t>
            </w:r>
          </w:p>
        </w:tc>
        <w:tc>
          <w:tcPr>
            <w:tcW w:w="467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5 до 10</w:t>
            </w:r>
          </w:p>
        </w:tc>
        <w:tc>
          <w:tcPr>
            <w:tcW w:w="467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10 до 50 га</w:t>
            </w:r>
          </w:p>
        </w:tc>
        <w:tc>
          <w:tcPr>
            <w:tcW w:w="467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15. Расчетные показатели обеспеченности объектами теплоснабжения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Энергогенерирующие</w:t>
      </w:r>
      <w:proofErr w:type="spellEnd"/>
      <w:r>
        <w:rPr>
          <w:rFonts w:ascii="Calibri" w:hAnsi="Calibri" w:cs="Calibri"/>
        </w:rPr>
        <w:t xml:space="preserve"> сооружения, устройства, котельные, предназначенные для теплоснабжения промышленных предприятий, а также жилой и общественной застройки, размещаются на территории производственных зон.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зонах многоквартирной малоэтажной жилой застройки, индивидуальной жилой застройки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 и противопожарных требований.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Нормативы обеспеченности объектами теплоснабжения принимаются в размере не менее 0,5 килокалории на отопление 1 кв. м площади в год.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Размеры земельных участков для отдельно стоящих котельных, размещаемых в районах жилой застройки, следует принимать по таблице 14.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14. Размеры земельных участков для отдельно стоящих котельных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098"/>
        <w:gridCol w:w="2891"/>
      </w:tblGrid>
      <w:tr w:rsidR="00BF4571">
        <w:tc>
          <w:tcPr>
            <w:tcW w:w="4082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Теплопроизводительность</w:t>
            </w:r>
            <w:proofErr w:type="spellEnd"/>
            <w:r>
              <w:rPr>
                <w:rFonts w:ascii="Calibri" w:hAnsi="Calibri" w:cs="Calibri"/>
              </w:rPr>
              <w:t xml:space="preserve"> котельных [Гкал/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(МВт)]</w:t>
            </w:r>
          </w:p>
        </w:tc>
        <w:tc>
          <w:tcPr>
            <w:tcW w:w="498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Размеры земельных участков (га) котельных, работающих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</w:p>
        </w:tc>
      </w:tr>
      <w:tr w:rsidR="00BF4571">
        <w:tc>
          <w:tcPr>
            <w:tcW w:w="4082" w:type="dxa"/>
            <w:vMerge/>
          </w:tcPr>
          <w:p w:rsidR="00BF4571" w:rsidRDefault="00BF4571"/>
        </w:tc>
        <w:tc>
          <w:tcPr>
            <w:tcW w:w="20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твердом </w:t>
            </w:r>
            <w:proofErr w:type="gramStart"/>
            <w:r>
              <w:rPr>
                <w:rFonts w:ascii="Calibri" w:hAnsi="Calibri" w:cs="Calibri"/>
              </w:rPr>
              <w:t>топливе</w:t>
            </w:r>
            <w:proofErr w:type="gramEnd"/>
          </w:p>
        </w:tc>
        <w:tc>
          <w:tcPr>
            <w:tcW w:w="2891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газомазутном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топливе</w:t>
            </w:r>
            <w:proofErr w:type="gramEnd"/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 5</w:t>
            </w:r>
          </w:p>
        </w:tc>
        <w:tc>
          <w:tcPr>
            <w:tcW w:w="20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28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5 до 10 (от 6 до 12)</w:t>
            </w:r>
          </w:p>
        </w:tc>
        <w:tc>
          <w:tcPr>
            <w:tcW w:w="20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8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10 до 50 (от 12 до 58)</w:t>
            </w:r>
          </w:p>
        </w:tc>
        <w:tc>
          <w:tcPr>
            <w:tcW w:w="20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28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50 до 100 (от 58 до 116)</w:t>
            </w:r>
          </w:p>
        </w:tc>
        <w:tc>
          <w:tcPr>
            <w:tcW w:w="20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8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100 до 200 (от 116 до 233)</w:t>
            </w:r>
          </w:p>
        </w:tc>
        <w:tc>
          <w:tcPr>
            <w:tcW w:w="20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28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BF4571">
        <w:tc>
          <w:tcPr>
            <w:tcW w:w="408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200 до 400 (от 233 до 466)</w:t>
            </w:r>
          </w:p>
        </w:tc>
        <w:tc>
          <w:tcPr>
            <w:tcW w:w="20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289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16. Расчетные показатели обеспеченности объектами газоснабжения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Норматив обеспеченности объектами газоснабжения (индивидуально-бытовые нужды населения) принимается в размере не менее 120 куб. м на одного человека в год.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Обеспечение объектами газоснабжения осуществляется с учетом нормативов потребления природного газа, указанных в таблице 15.</w:t>
      </w:r>
    </w:p>
    <w:p w:rsidR="00BF4571" w:rsidRDefault="00BF4571">
      <w:pPr>
        <w:spacing w:after="1" w:line="220" w:lineRule="auto"/>
        <w:ind w:firstLine="540"/>
        <w:jc w:val="both"/>
      </w:pPr>
    </w:p>
    <w:bookmarkStart w:id="8" w:name="P527"/>
    <w:bookmarkEnd w:id="8"/>
    <w:p w:rsidR="00BF4571" w:rsidRDefault="00BF4571">
      <w:pPr>
        <w:spacing w:after="1" w:line="220" w:lineRule="auto"/>
        <w:ind w:firstLine="540"/>
        <w:jc w:val="both"/>
      </w:pPr>
      <w:r>
        <w:fldChar w:fldCharType="begin"/>
      </w:r>
      <w:r>
        <w:instrText xml:space="preserve"> HYPERLINK \l "P527" \h </w:instrText>
      </w:r>
      <w:r>
        <w:fldChar w:fldCharType="separate"/>
      </w:r>
      <w:r>
        <w:rPr>
          <w:rFonts w:ascii="Calibri" w:hAnsi="Calibri" w:cs="Calibri"/>
          <w:color w:val="0000FF"/>
        </w:rPr>
        <w:t>Таблица 15</w:t>
      </w:r>
      <w:r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>. Нормативы потребления природного газа (при отсутствии приборов учета)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324"/>
        <w:gridCol w:w="1389"/>
      </w:tblGrid>
      <w:tr w:rsidR="00BF4571">
        <w:tc>
          <w:tcPr>
            <w:tcW w:w="532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532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Плита в расчете на одного человека (с централизованным горячим водоснабжением)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куб. м/чел. в месяц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BF4571">
        <w:tc>
          <w:tcPr>
            <w:tcW w:w="532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Плита в расчете на одного человека (при отсутствии централизованного горячего водоснабжения)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куб. м/чел. в месяц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BF4571">
        <w:tc>
          <w:tcPr>
            <w:tcW w:w="532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Подогрев воды с использованием газового водонагревателя (при отсутствии централизованного горячего водоснабжения)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куб. м/чел. в месяц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BF4571">
        <w:tc>
          <w:tcPr>
            <w:tcW w:w="532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Плита при наличии водонагревателя (при отсутствии </w:t>
            </w:r>
            <w:r>
              <w:rPr>
                <w:rFonts w:ascii="Calibri" w:hAnsi="Calibri" w:cs="Calibri"/>
              </w:rPr>
              <w:lastRenderedPageBreak/>
              <w:t>централизованного горячего водоснабжения)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куб. м/чел. в месяц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BF4571">
        <w:tc>
          <w:tcPr>
            <w:tcW w:w="532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Отопление</w:t>
            </w:r>
          </w:p>
        </w:tc>
        <w:tc>
          <w:tcPr>
            <w:tcW w:w="232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куб. м/чел. в месяц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17. Расчетные показатели обеспеченности объектами связи и информатизации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16. Расчетные показатели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389"/>
      </w:tblGrid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земельного участка для размещения антенно-мачтового сооружения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га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0,3</w:t>
            </w:r>
          </w:p>
        </w:tc>
      </w:tr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Полоса земли для прокладки кабелей (по всей длине трассы)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Полоса земли для установки опор и подвески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охвата населения стационарной или мобильной связью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охвата населения доступом в Интернет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Скорость передачи данных на пользовательское оборудование с использованием волоконно-оптической линии связи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Мбит/сек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менее 10</w:t>
            </w:r>
          </w:p>
        </w:tc>
      </w:tr>
      <w:tr w:rsidR="00BF4571">
        <w:tc>
          <w:tcPr>
            <w:tcW w:w="538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Точка доступа телекоммуникационных сетей</w:t>
            </w:r>
          </w:p>
        </w:tc>
        <w:tc>
          <w:tcPr>
            <w:tcW w:w="226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точка доступа на семью</w:t>
            </w:r>
          </w:p>
        </w:tc>
        <w:tc>
          <w:tcPr>
            <w:tcW w:w="138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18. Инженерная подготовка и защита территорий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 подготовке проектов планировки территорий городского округа "Город Архангельск" при необходимости следует предусматривать инженерную защиту от затопления, подтопления.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6. РАСЧЕТНЫЕ ПОКАЗАТЕЛИ В СФЕРЕ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ОХРАНЫ ОКРУЖАЮЩЕЙ СРЕДЫ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19. Обеспечение экологической безопасности и охраны здоровья населения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При планировке и застройке городского округа "Город Архангельск"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На территории городского округа "Город Архангельск" необходимо обеспечивать достижение нормативных требований и стандартов, определяющих качество атмосферного </w:t>
      </w:r>
      <w:r>
        <w:rPr>
          <w:rFonts w:ascii="Calibri" w:hAnsi="Calibri" w:cs="Calibri"/>
        </w:rPr>
        <w:lastRenderedPageBreak/>
        <w:t>воздуха, воды, почв, а также допустимых уровней шума, вибрации, электромагнитных и ионизирующих излучений и других факторов природного и техногенного риска.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 разработке документации по планировке и застройке территории необходимо соблюдать экологические и санитарно-гигиенические требования, установленные нормативными правовыми актами.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20. Требования по уровням шума (вибрации) в жилых и общественных зданиях, а также на прилегающих к ним территориях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Допустимые условия шума в жилых и общественных зданиях и на прилегающих к ним территориях, шумовые характеристики основных источников внешнего шума, порядок определения ожидаемых уровней шума и требуемого их снижения в расчетных точках следует принимать в соответствии с СП 51.13330.2011 "Защита от шума. Актуализированная редакция СНиП 23-03-2003".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Допустимые уровни вибрации в помещениях жилых и общественных зданий должны соответствовать санитарным нормам допустимых вибраций. Для выполнения этих требований следует предусматривать необходимые расстояния между жилыми, общественными зданиями и источниками вибрации, применение на этих источниках эффективных </w:t>
      </w:r>
      <w:proofErr w:type="spellStart"/>
      <w:r>
        <w:rPr>
          <w:rFonts w:ascii="Calibri" w:hAnsi="Calibri" w:cs="Calibri"/>
        </w:rPr>
        <w:t>виброгасящих</w:t>
      </w:r>
      <w:proofErr w:type="spellEnd"/>
      <w:r>
        <w:rPr>
          <w:rFonts w:ascii="Calibri" w:hAnsi="Calibri" w:cs="Calibri"/>
        </w:rPr>
        <w:t xml:space="preserve"> материалов и конструкций.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При размещении радиотехнических объектов следует руководствоваться </w:t>
      </w:r>
      <w:hyperlink r:id="rId16">
        <w:r>
          <w:rPr>
            <w:rFonts w:ascii="Calibri" w:hAnsi="Calibri" w:cs="Calibri"/>
            <w:color w:val="0000FF"/>
          </w:rPr>
          <w:t>СанПиН 2.1.8/2.2.4.1383-03</w:t>
        </w:r>
      </w:hyperlink>
      <w:r>
        <w:rPr>
          <w:rFonts w:ascii="Calibri" w:hAnsi="Calibri" w:cs="Calibri"/>
        </w:rPr>
        <w:t xml:space="preserve"> "Гигиенические требования к размещению и эксплуатации передающих радиотехнических объектов", СанПиН 297-84 "Санитарные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частоты" и Правилами устройства электроустановок.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21. Нормативы озеленения площади санитарно-защитных зон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Нормативы озеленения площади санитарно-защитных зон, отделяющих автомобильные дороги от объектов жилой застройки, принимаются в зависимости от ширины зоны: до 300 м - не менее 60 процентов; от 300 м до 1000 м - не менее 50 процентов; свыше 1000 м - не менее 40 процентов.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Нормативы озеленения площади санитарно-защитных зон, отделяющих железнодорожные линии от объектов жилой застройки, принимаются в зависимости от ширины зоны: до 300 м - не менее 60 процентов; от 300 м до 1000 м - не менее 50 процентов; свыше 1000 м - не менее 40 процентов.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22. Расчетные показатели санитарной очистки территории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Нормативы накопления твердых коммунальных отходов устанавливаются министерством природных ресурсов и лесопромышленного комплекса Архангельской области и принимаются в соответствии с </w:t>
      </w:r>
      <w:hyperlink r:id="rId1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министерства природных ресурсов и лесопромышленного комплекса Архангельской области от 24 марта 2022 года N </w:t>
      </w:r>
      <w:proofErr w:type="spellStart"/>
      <w:r>
        <w:rPr>
          <w:rFonts w:ascii="Calibri" w:hAnsi="Calibri" w:cs="Calibri"/>
        </w:rPr>
        <w:t>5п</w:t>
      </w:r>
      <w:proofErr w:type="spellEnd"/>
      <w:r>
        <w:rPr>
          <w:rFonts w:ascii="Calibri" w:hAnsi="Calibri" w:cs="Calibri"/>
        </w:rPr>
        <w:t xml:space="preserve"> "Об утверждении нормативов накопления твердых коммунальных отходов на территории Архангельской области".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Площади земельных участков, предусмотренных для размещения предприятий и сооружений по обезвреживанию, транспортировке и переработке твердых бытовых отходов и очистке от снега, устанавливаются в соответствии с таблицей 17.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17. Площади земельных участков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175"/>
        <w:gridCol w:w="1276"/>
      </w:tblGrid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Объекты</w:t>
            </w:r>
          </w:p>
        </w:tc>
        <w:tc>
          <w:tcPr>
            <w:tcW w:w="317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Полигоны и мусороперерабатывающие </w:t>
            </w:r>
            <w:r>
              <w:rPr>
                <w:rFonts w:ascii="Calibri" w:hAnsi="Calibri" w:cs="Calibri"/>
              </w:rPr>
              <w:lastRenderedPageBreak/>
              <w:t>комплексы</w:t>
            </w:r>
          </w:p>
        </w:tc>
        <w:tc>
          <w:tcPr>
            <w:tcW w:w="317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lastRenderedPageBreak/>
              <w:t>га</w:t>
            </w:r>
            <w:proofErr w:type="gramEnd"/>
            <w:r>
              <w:rPr>
                <w:rFonts w:ascii="Calibri" w:hAnsi="Calibri" w:cs="Calibri"/>
              </w:rPr>
              <w:t xml:space="preserve"> на 1 тыс. тонн твердых </w:t>
            </w:r>
            <w:r>
              <w:rPr>
                <w:rFonts w:ascii="Calibri" w:hAnsi="Calibri" w:cs="Calibri"/>
              </w:rPr>
              <w:lastRenderedPageBreak/>
              <w:t>бытовых отходов в год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0,05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Мусороперегрузочные и сортировочные станции</w:t>
            </w:r>
          </w:p>
        </w:tc>
        <w:tc>
          <w:tcPr>
            <w:tcW w:w="317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 xml:space="preserve"> на 1 тыс. тонн твердых бытовых отходов в год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Снегоприемные</w:t>
            </w:r>
            <w:proofErr w:type="spellEnd"/>
            <w:r>
              <w:rPr>
                <w:rFonts w:ascii="Calibri" w:hAnsi="Calibri" w:cs="Calibri"/>
              </w:rPr>
              <w:t xml:space="preserve"> пункты со </w:t>
            </w:r>
            <w:proofErr w:type="spellStart"/>
            <w:r>
              <w:rPr>
                <w:rFonts w:ascii="Calibri" w:hAnsi="Calibri" w:cs="Calibri"/>
              </w:rPr>
              <w:t>снегоплавильной</w:t>
            </w:r>
            <w:proofErr w:type="spellEnd"/>
            <w:r>
              <w:rPr>
                <w:rFonts w:ascii="Calibri" w:hAnsi="Calibri" w:cs="Calibri"/>
              </w:rPr>
              <w:t xml:space="preserve"> установкой</w:t>
            </w:r>
          </w:p>
        </w:tc>
        <w:tc>
          <w:tcPr>
            <w:tcW w:w="317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 xml:space="preserve"> на 1 тыс. куб. м снега в год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Снегоприемные</w:t>
            </w:r>
            <w:proofErr w:type="spellEnd"/>
            <w:r>
              <w:rPr>
                <w:rFonts w:ascii="Calibri" w:hAnsi="Calibri" w:cs="Calibri"/>
              </w:rPr>
              <w:t xml:space="preserve"> пункты без </w:t>
            </w:r>
            <w:proofErr w:type="spellStart"/>
            <w:r>
              <w:rPr>
                <w:rFonts w:ascii="Calibri" w:hAnsi="Calibri" w:cs="Calibri"/>
              </w:rPr>
              <w:t>снегоплавильной</w:t>
            </w:r>
            <w:proofErr w:type="spellEnd"/>
            <w:r>
              <w:rPr>
                <w:rFonts w:ascii="Calibri" w:hAnsi="Calibri" w:cs="Calibri"/>
              </w:rPr>
              <w:t xml:space="preserve"> установки</w:t>
            </w:r>
          </w:p>
        </w:tc>
        <w:tc>
          <w:tcPr>
            <w:tcW w:w="317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 xml:space="preserve"> на 1 тыс. куб. м снега в год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0,014</w:t>
            </w:r>
          </w:p>
        </w:tc>
      </w:tr>
      <w:tr w:rsidR="00BF4571">
        <w:tc>
          <w:tcPr>
            <w:tcW w:w="459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Склады </w:t>
            </w:r>
            <w:proofErr w:type="spellStart"/>
            <w:r>
              <w:rPr>
                <w:rFonts w:ascii="Calibri" w:hAnsi="Calibri" w:cs="Calibri"/>
              </w:rPr>
              <w:t>противогололедных</w:t>
            </w:r>
            <w:proofErr w:type="spellEnd"/>
            <w:r>
              <w:rPr>
                <w:rFonts w:ascii="Calibri" w:hAnsi="Calibri" w:cs="Calibri"/>
              </w:rPr>
              <w:t xml:space="preserve"> материалов</w:t>
            </w:r>
          </w:p>
        </w:tc>
        <w:tc>
          <w:tcPr>
            <w:tcW w:w="317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 xml:space="preserve"> на 1 тыс. материалов в год</w:t>
            </w:r>
          </w:p>
        </w:tc>
        <w:tc>
          <w:tcPr>
            <w:tcW w:w="127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23. Расчетные показатели минимально допустимого уровня обеспеченности, устанавливаемые для объектов местного значения в области предупреждения и ликвидации последствий чрезвычайных ситуаций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с требованиями Федерального </w:t>
      </w:r>
      <w:hyperlink r:id="rId18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 июля 2008 года N 123-ФЗ "Технический регламент о требованиях пожарной безопасности", Федерального </w:t>
      </w:r>
      <w:hyperlink r:id="rId19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декабря 1994 года N 69-ФЗ "О пожарной безопасности", Федерального </w:t>
      </w:r>
      <w:hyperlink r:id="rId20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6 октября 2003 года N 131-ФЗ "Об общих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принципах</w:t>
      </w:r>
      <w:proofErr w:type="gramEnd"/>
      <w:r>
        <w:rPr>
          <w:rFonts w:ascii="Calibri" w:hAnsi="Calibri" w:cs="Calibri"/>
        </w:rPr>
        <w:t xml:space="preserve"> организации местного самоуправления в Российской Федерации".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Площади земельных участков для размещения пожарных депо устанавливаются с учетом следующих нормативов: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2 пожарных автомобиля - 0,8 га;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4 пожарных автомобиля - 1,0 га;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6 пожарных автомобилей - 1,2 га.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7. ОБЕСПЕЧЕНИЕ ПЕРЕДВИЖЕНИЯ ИНВАЛИДОВ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МАЛОМОБИЛЬНЫХ ГРУПП НАСЕЛЕНИЯ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24. Доступность жилых объектов и объектов социальной инфраструктуры для инвалидов и маломобильных групп населения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При планировке и застройке территории городского округа "Город Архангельск" необходимо обеспечивать доступность жилых объектов, объектов социальной, транспортной, инженерной инфраструктур, связи и информации для инвалидов и других маломобильных групп населения.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 проектировании и реконструкции общественных, жилых и промышленных зданий и сооружений следует предусматривать для инвалидов и маломобильных групп населения условия жизнедеятельности, равные с остальными категориями населения, в соответствии с СП 59.13330.2012 "Доступность зданий и сооружений для маломобильных групп населения. Актуализированная редакция СНиП 35-01-2001", СП 31-102-99 "Требования доступности общественных зданий и сооружений для инвалидов и других маломобильных посетителей", СП 35-101-2001 "Проектирование зданий и сооружений с учетом доступности для маломобильных групп населения. Общие положения", СП 35-102-2001 "Жилая среда с планировочными элементами, доступными инвалидам", СП 35-103-2001 "Общественные здания и сооружения, доступные маломобильным посетителям", </w:t>
      </w:r>
      <w:proofErr w:type="spellStart"/>
      <w:r>
        <w:rPr>
          <w:rFonts w:ascii="Calibri" w:hAnsi="Calibri" w:cs="Calibri"/>
        </w:rPr>
        <w:t>ВСН</w:t>
      </w:r>
      <w:proofErr w:type="spellEnd"/>
      <w:r>
        <w:rPr>
          <w:rFonts w:ascii="Calibri" w:hAnsi="Calibri" w:cs="Calibri"/>
        </w:rPr>
        <w:t xml:space="preserve"> 62-91* "Проектирование среды жизнедеятельности с учетом потребностей инвалидов и маломобильных групп населения", </w:t>
      </w:r>
      <w:proofErr w:type="spellStart"/>
      <w:r>
        <w:rPr>
          <w:rFonts w:ascii="Calibri" w:hAnsi="Calibri" w:cs="Calibri"/>
        </w:rPr>
        <w:t>РДС</w:t>
      </w:r>
      <w:proofErr w:type="spellEnd"/>
      <w:r>
        <w:rPr>
          <w:rFonts w:ascii="Calibri" w:hAnsi="Calibri" w:cs="Calibri"/>
        </w:rPr>
        <w:t xml:space="preserve"> 35-201-99 "Порядок реализации требований доступности для инвалидов к объектам социальной инфраструктуры".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3. Количество мест парковки для индивидуального автотранспорта инвалидов и маломобильных групп населения принимать в соответствии с региональными нормативами градостроительного проектирования.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8. ПРАВИЛА И ОБЛАСТЬ ПРИМЕНЕНИЯ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РАСЧЕТНЫХ ПОКАЗАТЕЛЕЙ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25. Показатели объектов местного значения, применяемые при подготовке документов территориального планирования, градостроительного зонирования, а также документации по планировке территорий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18. Расчетные показатели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ectPr w:rsidR="00BF45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41"/>
        <w:gridCol w:w="1985"/>
        <w:gridCol w:w="737"/>
        <w:gridCol w:w="851"/>
        <w:gridCol w:w="850"/>
      </w:tblGrid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расчетного показателя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Единицы измерения расчетного показателя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ГП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803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ПП </w:t>
            </w:r>
            <w:hyperlink w:anchor="P804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ПЗЗ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805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утилизация и переработка бытовых отходов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Площадь земельного участка для размещения предприятий и сооружений по обезвреживанию, транспортировке и переработке твердых бытовых отходов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  <w:r>
              <w:rPr>
                <w:rFonts w:ascii="Calibri" w:hAnsi="Calibri" w:cs="Calibri"/>
              </w:rPr>
              <w:t xml:space="preserve"> на 1 тыс. тонн твердых бытовых отходов в год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благоустройство (озеленение) территории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объектами озеленения общего пользования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кв. м/чел.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энергетика и инженерная инфраструктура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Укрупненный показатель электропотребления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кВт-ч</w:t>
            </w:r>
            <w:proofErr w:type="gramEnd"/>
            <w:r>
              <w:rPr>
                <w:rFonts w:ascii="Calibri" w:hAnsi="Calibri" w:cs="Calibri"/>
              </w:rPr>
              <w:t>/год на одного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Площадь земельного участка для отдельно стоящих котельных в зависимости от </w:t>
            </w:r>
            <w:proofErr w:type="spellStart"/>
            <w:r>
              <w:rPr>
                <w:rFonts w:ascii="Calibri" w:hAnsi="Calibri" w:cs="Calibri"/>
              </w:rPr>
              <w:t>теплопроизводительности</w:t>
            </w:r>
            <w:proofErr w:type="spellEnd"/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га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куб. м/чел. в месяц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Показатель удельного водопотребления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л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сут</w:t>
            </w:r>
            <w:proofErr w:type="spellEnd"/>
            <w:r>
              <w:rPr>
                <w:rFonts w:ascii="Calibri" w:hAnsi="Calibri" w:cs="Calibri"/>
              </w:rPr>
              <w:t>. на одного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Показатель удельного водоотведения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л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сут</w:t>
            </w:r>
            <w:proofErr w:type="spellEnd"/>
            <w:r>
              <w:rPr>
                <w:rFonts w:ascii="Calibri" w:hAnsi="Calibri" w:cs="Calibri"/>
              </w:rPr>
              <w:t>. (куб. м/мес.; куб. м/год) на одного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образование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дошкольными образовательными организациями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место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территориальной доступности дошкольных образовательных учреждений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; мин.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земельного участка дошкольных образовательных учреждений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  <w:r>
              <w:rPr>
                <w:rFonts w:ascii="Calibri" w:hAnsi="Calibri" w:cs="Calibri"/>
              </w:rPr>
              <w:t>/место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общеобразовательными учреждениями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учащихся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территориальной доступности общеобразовательных учреждений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; мин.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земельного участка общеобразовательных учреждений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proofErr w:type="spellStart"/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spellEnd"/>
            <w:proofErr w:type="gramEnd"/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объекты культуры и социального обеспечения местного значения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библиотеками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тыс. томов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учреждениями культуры клубного типа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выставочными залами, музеями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посещений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физкультурно-спортивными залами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кв. м площади пола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плоскостными сооружениями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 на трибунах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Уровень обеспеченности плавательными </w:t>
            </w:r>
            <w:r>
              <w:rPr>
                <w:rFonts w:ascii="Calibri" w:hAnsi="Calibri" w:cs="Calibri"/>
              </w:rPr>
              <w:lastRenderedPageBreak/>
              <w:t>бассейнами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кв. м зеркала воды </w:t>
            </w:r>
            <w:r>
              <w:rPr>
                <w:rFonts w:ascii="Calibri" w:hAnsi="Calibri" w:cs="Calibri"/>
              </w:rPr>
              <w:lastRenderedPageBreak/>
              <w:t>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предупреждение чрезвычайных ситуаций и ликвидации их последствий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земельного участка для размещения пожарных депо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га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8964" w:type="dxa"/>
            <w:gridSpan w:val="5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помещения участковых уполномоченных полиции</w:t>
            </w:r>
          </w:p>
        </w:tc>
      </w:tr>
      <w:tr w:rsidR="00BF4571">
        <w:tc>
          <w:tcPr>
            <w:tcW w:w="51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54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обеспеченности помещениями участковых уполномоченных полиции</w:t>
            </w:r>
          </w:p>
        </w:tc>
        <w:tc>
          <w:tcPr>
            <w:tcW w:w="198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участковый уполномоченный полиции на 1 тыс. чел.</w:t>
            </w:r>
          </w:p>
        </w:tc>
        <w:tc>
          <w:tcPr>
            <w:tcW w:w="73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5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BF4571" w:rsidRDefault="00BF4571">
      <w:pPr>
        <w:sectPr w:rsidR="00BF45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BF4571" w:rsidRDefault="00BF4571">
      <w:pPr>
        <w:spacing w:before="220" w:after="1" w:line="220" w:lineRule="auto"/>
        <w:ind w:firstLine="540"/>
        <w:jc w:val="both"/>
      </w:pPr>
      <w:bookmarkStart w:id="9" w:name="P803"/>
      <w:bookmarkEnd w:id="9"/>
      <w:r>
        <w:rPr>
          <w:rFonts w:ascii="Calibri" w:hAnsi="Calibri" w:cs="Calibri"/>
        </w:rPr>
        <w:t xml:space="preserve">&lt;*&gt; </w:t>
      </w:r>
      <w:proofErr w:type="spellStart"/>
      <w:r>
        <w:rPr>
          <w:rFonts w:ascii="Calibri" w:hAnsi="Calibri" w:cs="Calibri"/>
        </w:rPr>
        <w:t>ГП</w:t>
      </w:r>
      <w:proofErr w:type="spellEnd"/>
      <w:r>
        <w:rPr>
          <w:rFonts w:ascii="Calibri" w:hAnsi="Calibri" w:cs="Calibri"/>
        </w:rPr>
        <w:t xml:space="preserve"> - генеральный план;</w:t>
      </w:r>
    </w:p>
    <w:p w:rsidR="00BF4571" w:rsidRDefault="00BF4571">
      <w:pPr>
        <w:spacing w:before="220" w:after="1" w:line="220" w:lineRule="auto"/>
        <w:ind w:firstLine="540"/>
        <w:jc w:val="both"/>
      </w:pPr>
      <w:bookmarkStart w:id="10" w:name="P804"/>
      <w:bookmarkEnd w:id="10"/>
      <w:r>
        <w:rPr>
          <w:rFonts w:ascii="Calibri" w:hAnsi="Calibri" w:cs="Calibri"/>
        </w:rPr>
        <w:t>&lt;**&gt; ПП - документация по планировке территории;</w:t>
      </w:r>
    </w:p>
    <w:p w:rsidR="00BF4571" w:rsidRDefault="00BF4571">
      <w:pPr>
        <w:spacing w:before="220" w:after="1" w:line="220" w:lineRule="auto"/>
        <w:ind w:firstLine="540"/>
        <w:jc w:val="both"/>
      </w:pPr>
      <w:bookmarkStart w:id="11" w:name="P805"/>
      <w:bookmarkEnd w:id="11"/>
      <w:r>
        <w:rPr>
          <w:rFonts w:ascii="Calibri" w:hAnsi="Calibri" w:cs="Calibri"/>
        </w:rPr>
        <w:t xml:space="preserve">&lt;***&gt; </w:t>
      </w:r>
      <w:proofErr w:type="spellStart"/>
      <w:r>
        <w:rPr>
          <w:rFonts w:ascii="Calibri" w:hAnsi="Calibri" w:cs="Calibri"/>
        </w:rPr>
        <w:t>ПЗЗ</w:t>
      </w:r>
      <w:proofErr w:type="spellEnd"/>
      <w:r>
        <w:rPr>
          <w:rFonts w:ascii="Calibri" w:hAnsi="Calibri" w:cs="Calibri"/>
        </w:rPr>
        <w:t xml:space="preserve"> - правила землепользования и застройки;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"+" - показатели отображаются;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"-" - показатели не отображаются.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 xml:space="preserve">Раздел </w:t>
      </w:r>
      <w:proofErr w:type="spellStart"/>
      <w:r>
        <w:rPr>
          <w:rFonts w:ascii="Calibri" w:hAnsi="Calibri" w:cs="Calibri"/>
          <w:b/>
        </w:rPr>
        <w:t>II</w:t>
      </w:r>
      <w:proofErr w:type="spellEnd"/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МАТЕРИАЛЫ ПО ОБОСНОВАНИЮ РАСЧЕТНЫХ ПОКАЗАТЕЛЕЙ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9. ОБЩИЕ ПОЛОЖЕНИЯ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26. Назначение и область применения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Местные нормативы градостроительного проектирования городского округа "Город Архангельск" разработаны в соответствии с Градостроительным </w:t>
      </w:r>
      <w:hyperlink r:id="rId2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2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</w:t>
      </w:r>
      <w:proofErr w:type="gramEnd"/>
      <w:r>
        <w:rPr>
          <w:rFonts w:ascii="Calibri" w:hAnsi="Calibri" w:cs="Calibri"/>
        </w:rPr>
        <w:t xml:space="preserve"> Архангельск".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Местные нормативы 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Нормативы разработаны в целях обеспечения устойчивого развития территории городского округа "Город Архангельск" с учетом особенностей его территориального формирования, повышения эффективности использования территории на основе рационального зонирования, создания благоприятных условий жизнедеятельности населения, ограничения негативного воздействия хозяйственной и иной деятельности на окружающую среду, улучшения санитарно-эпидемиологического и экологического состояния территории городского округа "Город Архангельск", а также создания градостроительными средствами условий для обеспечения социальных</w:t>
      </w:r>
      <w:proofErr w:type="gramEnd"/>
      <w:r>
        <w:rPr>
          <w:rFonts w:ascii="Calibri" w:hAnsi="Calibri" w:cs="Calibri"/>
        </w:rPr>
        <w:t xml:space="preserve"> гарантий, установленных законодательством Российской Федерации, Архангельской области и нормативными правовыми актами городского округа "Город Архангельск", гражданам, в том числе инвалидам и другим маломобильным группам населения.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Неурегулированные нормативами вопросы разрешаются в соответствии с нормативными правовыми актами, в том числе нормативно-техническими документами, действующими на территории Российской Федерации в соответствии с требованиями Федерального </w:t>
      </w:r>
      <w:hyperlink r:id="rId23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декабря 2002 года N 184-ФЗ "О техническом регулировании", региональными нормативами градостроительного проектирования Архангельской области. При отмене и/или изменении действующих нормативных документов, в том числе тех, на которые дается ссылка в нормативах, вопросы регулируются в соответствии с нормами, вводимыми взамен отмененных.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27. Анализ административно-территориального устройства, природно-климатических условий, социально-демографического развития городского округа "Город Архангельск", влияющих на установление расчетных показателей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1. При определении перспектив градостроительного развития и планировки территории городского округа "Город Архангельск" учитываются: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численность населения на расчетный срок - 2025 год;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роль города Архангельска как административного центра Архангельской области;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историко-культурное значение города;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прогноз социально-экономического развития территории;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санитарно-эпидемиологическая и экологическая обстановка на планируемых к развитию территориях.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По состоянию на 1 января 2021 года численность населения городского округа "Город Архангельск" составляла 346 979 человек.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Городской округ "Город Архангельск" в соответствии с проектной численностью населения относится к крупным городам.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Прогноз численности и состава населения для города выполнен на основе статистических данных.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19. Численность населения городского округа "Город Архангельск"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BF4571">
        <w:tc>
          <w:tcPr>
            <w:tcW w:w="9071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Численность населения (тыс. человек)</w:t>
            </w:r>
          </w:p>
        </w:tc>
      </w:tr>
      <w:tr w:rsidR="00BF4571">
        <w:tc>
          <w:tcPr>
            <w:tcW w:w="481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2022 г. (исходный год)</w:t>
            </w:r>
          </w:p>
        </w:tc>
        <w:tc>
          <w:tcPr>
            <w:tcW w:w="425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 г. (расчетный срок)</w:t>
            </w:r>
          </w:p>
        </w:tc>
      </w:tr>
      <w:tr w:rsidR="00BF4571">
        <w:tc>
          <w:tcPr>
            <w:tcW w:w="481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346 979</w:t>
            </w:r>
          </w:p>
        </w:tc>
        <w:tc>
          <w:tcPr>
            <w:tcW w:w="4252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360 000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Возможные направления территориального развития городского округа "Город Архангельск" определяются на основании генерального плана городского округа "Город Архангельск" с учетом нормативно-технических и правовых актов в области градостроительства Архангельской области.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10. ЖИЛЫЕ, ОБЩЕСТВЕННО-ДЕЛОВЫЕ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И РЕКРЕАЦИОННЫЕ ЗОНЫ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28. Общие требования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Жилые зоны формируются с учетом взаимоувязанного размещения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Объем жилищного фонда и его структура определяются на основе анализа фактических и прогнозных данных о семейном составе населения городского округа "Город Архангельск", уровнях его дохода, существующей и перспективной жилищной обеспеченности.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Объемы и структуру жилищного строительства рекомендуется дифференцировать по уровню комфорта в соответствии с действующим сводом правил "Градостроительство. Планировка и застройка городских и сельских поселений. Актуализированная редакция СНиП 2.07.01-89*" с учетом конкретных возможностей развития городского округа "Город Архангельск".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Расчетные показатели минимальной обеспеченности общей площадью жилых помещений для индивидуальной застройки не нормируются.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29. Жилые зоны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Для размещения жилой зоны должны выбираться участки наиболее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При формировании жилой зоны должны выдерживаться принципы компактности планировочного образования, защищенности от неблагоприятных природных воздействий, сокращения </w:t>
      </w:r>
      <w:proofErr w:type="gramStart"/>
      <w:r>
        <w:rPr>
          <w:rFonts w:ascii="Calibri" w:hAnsi="Calibri" w:cs="Calibri"/>
        </w:rPr>
        <w:t>радиусов доступности объектов системы обслуживания</w:t>
      </w:r>
      <w:proofErr w:type="gramEnd"/>
      <w:r>
        <w:rPr>
          <w:rFonts w:ascii="Calibri" w:hAnsi="Calibri" w:cs="Calibri"/>
        </w:rPr>
        <w:t>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планировочной организации жилой зоны следует предусматривать дифференциацию по типам застройки с учетом потребностей различных социальных групп населения.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При определении соотношения типов нового жилищного строительства необходимо исходить из учета конкретных возможностей развития города, наличия территориальных ресурсов, градостроительных особенностей, существующей строительной базы и рыночных условий.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Рекомендуется следующее распределение нового жилищного строительства по типам застройки: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застройка индивидуальными жилыми домами - 10%;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застройка малоэтажными жилыми домами - 20%;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среднеэтажная застройка - 30%;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многоэтажная застройка - 40%.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Жилые здания с квартирами на первых этажах следует располагать с отступом от красных линий.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Запрещается размещение жилых помещений в цокольных и подвальных этажах.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Предельно минимальные и (или) максимальные размеры земельного участка, в том числе площадь, устанавливаются правилами землепользования и застройки городского округа "Город Архангельск".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Для территориальных зон индивидуальной жилой застройки следует принимать коэффициент использования территории земельного участка в соответствии с таблицей 20.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20. Коэффициенты использования территории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Тип жилых домов</w:t>
            </w:r>
          </w:p>
        </w:tc>
        <w:tc>
          <w:tcPr>
            <w:tcW w:w="45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использования территории (не более)</w:t>
            </w:r>
          </w:p>
        </w:tc>
      </w:tr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Усадебного типа</w:t>
            </w:r>
          </w:p>
        </w:tc>
        <w:tc>
          <w:tcPr>
            <w:tcW w:w="45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Блокированного типа</w:t>
            </w:r>
          </w:p>
        </w:tc>
        <w:tc>
          <w:tcPr>
            <w:tcW w:w="45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0,8 - 1,6</w:t>
            </w:r>
          </w:p>
        </w:tc>
      </w:tr>
      <w:tr w:rsidR="00BF4571">
        <w:tc>
          <w:tcPr>
            <w:tcW w:w="4479" w:type="dxa"/>
          </w:tcPr>
          <w:p w:rsidR="00BF4571" w:rsidRDefault="00BF4571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lastRenderedPageBreak/>
              <w:t>Многоквартирные</w:t>
            </w:r>
            <w:proofErr w:type="gramEnd"/>
            <w:r>
              <w:rPr>
                <w:rFonts w:ascii="Calibri" w:hAnsi="Calibri" w:cs="Calibri"/>
              </w:rPr>
              <w:t xml:space="preserve"> (не выше 3 этажей)</w:t>
            </w:r>
          </w:p>
        </w:tc>
        <w:tc>
          <w:tcPr>
            <w:tcW w:w="453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10. Границы, размеры участков при многоквартирных жилых домах, находящихся в общей долевой собственности собственников помещений в многоквартирных домах, определяются документацией по планировке территории, соответствующей требованиям правовых актов Российской Федерации, Архангельской области, нормативных правовых актов городского округа "Город Архангельск" и настоящих нормативов.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(расчетного количества стоянок для автомобилей, озеленения).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элементов.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Расчет площади нормируемых элементов дворовой территории осуществляется в соответствии с нормами, приведенными в таблице 21.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21. Площади нормируемых элементов благоустройства жилого микрорайона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ectPr w:rsidR="00BF45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126"/>
        <w:gridCol w:w="3260"/>
      </w:tblGrid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Вид площадки</w:t>
            </w:r>
          </w:p>
        </w:tc>
        <w:tc>
          <w:tcPr>
            <w:tcW w:w="212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Удельные размеры площадок</w:t>
            </w:r>
          </w:p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(кв. м/чел.)</w:t>
            </w:r>
          </w:p>
        </w:tc>
        <w:tc>
          <w:tcPr>
            <w:tcW w:w="326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Минимальное расстояние от площадок до окон жилых домов и общественных зданий (м)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212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326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Площадки для занятий физкультурой взрослого населения</w:t>
            </w:r>
          </w:p>
        </w:tc>
        <w:tc>
          <w:tcPr>
            <w:tcW w:w="212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326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10 - 40; наибольшие значения следует принимать для хоккейных и футбольных площадок, наименьшие - для площадок для настольного тенниса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Площадки отдыха взрослого населения</w:t>
            </w:r>
          </w:p>
        </w:tc>
        <w:tc>
          <w:tcPr>
            <w:tcW w:w="212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326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Площадки для хозяйственных целей (контейнерные площадки для сбора твердых коммунальных отходов и крупногабаритного мусора)</w:t>
            </w:r>
          </w:p>
        </w:tc>
        <w:tc>
          <w:tcPr>
            <w:tcW w:w="212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326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BF4571">
        <w:tc>
          <w:tcPr>
            <w:tcW w:w="4195" w:type="dxa"/>
          </w:tcPr>
          <w:p w:rsidR="00BF4571" w:rsidRDefault="00BF4571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Площадки для выгула собак</w:t>
            </w:r>
          </w:p>
        </w:tc>
        <w:tc>
          <w:tcPr>
            <w:tcW w:w="2126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400-600</w:t>
            </w:r>
          </w:p>
        </w:tc>
        <w:tc>
          <w:tcPr>
            <w:tcW w:w="3260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</w:tbl>
    <w:p w:rsidR="00BF4571" w:rsidRDefault="00BF4571">
      <w:pPr>
        <w:sectPr w:rsidR="00BF45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Допускается уменьшать (но не более чем на 50%) удельные размеры площадок: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детских игровых, отдыха взрослого населения, для занятий физкультурой взрослого населения, для хозяйственных целей - в соответствии с СП 131.13330;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для занятий физкультурой взрослого населения - при формировании единого физкультурно-оздоровительного комплекса микрорайона для школьников и населения.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Допускается уменьшать показатели площади элементов благоустройства придомовой (приватной) территории на 20 процентов при исполнении мероприятий в рамках государственных программ Архангельской области по строительству многоквартирного жилого дома.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При размещении многоквартирных жилых домов необходимо предусматривать размещение расчетного количества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зон в соответствии с региональными </w:t>
      </w:r>
      <w:hyperlink r:id="rId24">
        <w:r>
          <w:rPr>
            <w:rFonts w:ascii="Calibri" w:hAnsi="Calibri" w:cs="Calibri"/>
            <w:color w:val="0000FF"/>
          </w:rPr>
          <w:t>нормативами</w:t>
        </w:r>
      </w:hyperlink>
      <w:r>
        <w:rPr>
          <w:rFonts w:ascii="Calibri" w:hAnsi="Calibri" w:cs="Calibri"/>
        </w:rPr>
        <w:t xml:space="preserve"> градостроительного проектирования Архангельской области, утвержденными постановлением Правительства Архангельской области от 19 апреля 2016 года N 123-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</w:t>
      </w:r>
      <w:proofErr w:type="gramEnd"/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14.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соответствовать требованиям действующего свода правил "Градостроительство. Планировка и застройка городских и сельских поселений. Актуализированная редакция СНиП 2.07.01-89*".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примыкания микрорайона (квартала) к общегородским зеленым массивам возможно сокращение нормы обеспеченности жителей территориями зеленых насаждений жилого района на 15%.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30. Общественно-деловые зоны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Общественно-деловую зону следует формировать как систему общественных центров, включающую центры деловой, финансовой и общественной активности в центральной части города (общегородскую), на территориях, прилегающих к магистральным улицам, общественно-транспортным узлам и другим объектам массового посещения.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Общественно-деловая зона характеризуется многофункциональным использованием территорий, образующих систему взаимосвязанных общественных пространств.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Формирование общественно-деловых зон на территориях, в границах которых расположены объекты культурного наследия (памятники истории и культуры), производится в соответствии с требованиями Федерального </w:t>
      </w:r>
      <w:hyperlink r:id="rId25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Структура и типология общественных центров и объектов общественно-деловой зоны в историческом центре города определяются проектом планировки территории.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При проектировании учреждений и предприятий обслуживания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 При подготовке генерального плана городского округа "Город Архангельск" размещение основных видов социально значимых объектов следует проектировать в соответствии с расчетными показателями основной части настоящих нормативов.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При размещении учреждений минимальная обеспеченность учреждениями и площадь их земельных участков принимается в соответствии с расчетными показателями основной части настоящих нормативов.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31. Зоны рекреационного назначения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Рекреационные зоны включают в себя территории, занятые городскими лесами, скверами, парками, городскими садами, бульварами, озерами, набережными, пляжами, а также иные территории, используемые и предназначенные для отдыха, туризма, занятий физической культурой и спортом.</w:t>
      </w:r>
      <w:proofErr w:type="gramEnd"/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туристские парки, лесопарки, учебно-туристические тропы, трассы и другие аналогичные объекты.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 землях рекреационного назначения запрещается деятельность, не соответствующая их целевому назначению.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Суммарная площадь общегородских озелененных территорий общего пользования для городского округа "Город Архангельск" должна составлять не менее 16 кв. м/чел.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Зоны массового кратковременного отдыха следует располагать в пределах доступности на общественном транспорте не более 1 ч.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В зонах отдыха допускается размещение объектов, непосредственно связанных с рекреационной деятельностью (пансионаты, кемпинги, базы отдыха, спортивные и игровые площадки), а также с обслуживанием зон отдыха (загородные кафе, рестораны, центры развлечения, пункты проката).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Зоны размещения физкультурно-спортивных объектов проектируются на территории зон жилой застройки, общественно-деловых зон и рекреационных зон.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Радиус обслуживания физкультурно-спортивными сооружениями населения жилого района, микрорайона (квартала) составляет 1500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Радиус обслуживания физкультурно-спортивными сооружениями городского значения не должен превышать 30 минут транспортной доступности.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32. Реконструкция застроенных территорий в городском округе "Город Архангельск"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1. В целях интенсивного использования территории города и улучшения безопасной и благоприятной среды проживания населения может быть запланирована реконструкция сложившейся застройки жилых территорий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Реконструкция застройки в границах элементов планировочной структуры (кварталов, микрорайонов) или их частей является комплексной; реконструкция застройки в пределах земельного участка является локальной (выборочной).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ценности, технического состояния, максимального сохранения жилищного фонда, пригодного для проживания, и сложившейся исторической среды.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11. ПРОИЗВОДСТВЕННЫЕ И ИНЫЕ ЗОНЫ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33. Общие требования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автомобильного, железнодорожного, водного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  <w:proofErr w:type="gramEnd"/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Границы производственных зон определяются на основании зонирования территории города и устанавливаются с учетом требуемых санитарно-защитных зон для промышленных объектов, производств и сооружений, обеспечивая максимально эффективное использование территории.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34. Производственные зоны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Производственные зоны, промышленные узлы, предприятия (далее - производственная зона) и связанные с ними отвалы, отходы, очистные сооружения следует размещать на землях с низкой кадастровой стоимостью.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Устройство отвалов, </w:t>
      </w:r>
      <w:proofErr w:type="spellStart"/>
      <w:r>
        <w:rPr>
          <w:rFonts w:ascii="Calibri" w:hAnsi="Calibri" w:cs="Calibri"/>
        </w:rPr>
        <w:t>шламонакопителей</w:t>
      </w:r>
      <w:proofErr w:type="spellEnd"/>
      <w:r>
        <w:rPr>
          <w:rFonts w:ascii="Calibri" w:hAnsi="Calibri" w:cs="Calibri"/>
        </w:rPr>
        <w:t>, ме</w:t>
      </w:r>
      <w:proofErr w:type="gramStart"/>
      <w:r>
        <w:rPr>
          <w:rFonts w:ascii="Calibri" w:hAnsi="Calibri" w:cs="Calibri"/>
        </w:rPr>
        <w:t>ст скл</w:t>
      </w:r>
      <w:proofErr w:type="gramEnd"/>
      <w:r>
        <w:rPr>
          <w:rFonts w:ascii="Calibri" w:hAnsi="Calibri" w:cs="Calibri"/>
        </w:rPr>
        <w:t>адирования отходов предприятий допускается только при обосновании невозможности их утилизации; при этом для производственных зон следует предусматривать централизованные (групповые) отвалы, места складирования с соблюдением санитарных норм.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Промышленные предприятия следует размещать на территории производственной зоны в составе групп предприятий (промышленных узлов) с общими вспомогательными производствами или объектами инфраструктуры.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0,5 м выше расчетного наивысшего горизонта вод с учетом подпора и уклона водотока, а также нагона от расчетной высоты волны, определяемой в соответствии с требованиями по нагрузкам и воздействиям на гидротехнические сооружения.</w:t>
      </w:r>
      <w:proofErr w:type="gramEnd"/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>
        <w:rPr>
          <w:rFonts w:ascii="Calibri" w:hAnsi="Calibri" w:cs="Calibri"/>
        </w:rPr>
        <w:t>количества</w:t>
      </w:r>
      <w:proofErr w:type="gramEnd"/>
      <w:r>
        <w:rPr>
          <w:rFonts w:ascii="Calibri" w:hAnsi="Calibri" w:cs="Calibri"/>
        </w:rPr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в соответствии с требованиями </w:t>
      </w:r>
      <w:hyperlink r:id="rId26">
        <w:r>
          <w:rPr>
            <w:rFonts w:ascii="Calibri" w:hAnsi="Calibri" w:cs="Calibri"/>
            <w:color w:val="0000FF"/>
          </w:rPr>
          <w:t>СанПиН 2.2.1/2.1.1.1200-03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"Санитарно-защитные зоны и санитарная классификация предприятий, сооружений и иных объектов" (далее - СанПиН 2.2.1/2.1.1.1200-03) ориентировочные размеры санитарно-защитных зон, а именно: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для предприятий I класса - 1000 м;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для предприятий </w:t>
      </w:r>
      <w:proofErr w:type="spellStart"/>
      <w:r>
        <w:rPr>
          <w:rFonts w:ascii="Calibri" w:hAnsi="Calibri" w:cs="Calibri"/>
        </w:rPr>
        <w:t>II</w:t>
      </w:r>
      <w:proofErr w:type="spellEnd"/>
      <w:r>
        <w:rPr>
          <w:rFonts w:ascii="Calibri" w:hAnsi="Calibri" w:cs="Calibri"/>
        </w:rPr>
        <w:t xml:space="preserve"> класса - 500 м;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для предприятий </w:t>
      </w:r>
      <w:proofErr w:type="spellStart"/>
      <w:r>
        <w:rPr>
          <w:rFonts w:ascii="Calibri" w:hAnsi="Calibri" w:cs="Calibri"/>
        </w:rPr>
        <w:t>III</w:t>
      </w:r>
      <w:proofErr w:type="spellEnd"/>
      <w:r>
        <w:rPr>
          <w:rFonts w:ascii="Calibri" w:hAnsi="Calibri" w:cs="Calibri"/>
        </w:rPr>
        <w:t xml:space="preserve"> класса - 300 м;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для предприятий </w:t>
      </w:r>
      <w:proofErr w:type="spellStart"/>
      <w:r>
        <w:rPr>
          <w:rFonts w:ascii="Calibri" w:hAnsi="Calibri" w:cs="Calibri"/>
        </w:rPr>
        <w:t>IV</w:t>
      </w:r>
      <w:proofErr w:type="spellEnd"/>
      <w:r>
        <w:rPr>
          <w:rFonts w:ascii="Calibri" w:hAnsi="Calibri" w:cs="Calibri"/>
        </w:rPr>
        <w:t xml:space="preserve"> класса - 100 м;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для предприятий V класса - 50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пределах жилой территории города допускается размещать производственные предприятия, не выделяющие вредные вещества, с </w:t>
      </w:r>
      <w:proofErr w:type="spellStart"/>
      <w:r>
        <w:rPr>
          <w:rFonts w:ascii="Calibri" w:hAnsi="Calibri" w:cs="Calibri"/>
        </w:rPr>
        <w:t>непожароопасными</w:t>
      </w:r>
      <w:proofErr w:type="spellEnd"/>
      <w:r>
        <w:rPr>
          <w:rFonts w:ascii="Calibri" w:hAnsi="Calibri" w:cs="Calibri"/>
        </w:rPr>
        <w:t xml:space="preserve"> и невзрывоопасными производственными процессами, не создающие шум, превышающий установленные нормы, не требующие устройства железнодорожных подъездных путей и подъезда грузового автотранспорта более 50 автомобилей в сутки, с установлением санитарно-защитных зон в соответствии с требованиями </w:t>
      </w:r>
      <w:hyperlink r:id="rId27">
        <w:r>
          <w:rPr>
            <w:rFonts w:ascii="Calibri" w:hAnsi="Calibri" w:cs="Calibri"/>
            <w:color w:val="0000FF"/>
          </w:rPr>
          <w:t>СанПиН 2.2.1/2.1.1.1200-03</w:t>
        </w:r>
      </w:hyperlink>
      <w:r>
        <w:rPr>
          <w:rFonts w:ascii="Calibri" w:hAnsi="Calibri" w:cs="Calibri"/>
        </w:rPr>
        <w:t xml:space="preserve"> и настоящих нормативов.</w:t>
      </w:r>
      <w:proofErr w:type="gramEnd"/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При проектировании коммунальных зон условия безопасности по нормируемым санитарно-гигиеническим и противопожарным требованиям, нормативы инженерной и транспортной инфраструктуры, благоустройство и озеленение территории следует принимать в соответствии с требованиями, установленными для производственных зон.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35. Зоны инженерной инфраструктуры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негативного воздействия указанных объектов на жилую, общественную застройку и рекреационные зоны в соответствии с требованиями действующего законодательства и настоящих нормативов.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Проектирование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канализации, теплоснабжения, газоснабжения и энергоснабжения, разработанных и утвержденных в установленном законом порядке.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градостроительной документацией.</w:t>
      </w:r>
      <w:proofErr w:type="gramEnd"/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Для производственного водоснабжения промышленных предприятий следует рассматривать возможность устройства систем оборотного водоснабжения.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При отсутствии централизованной системы канализации по согласованию с Управлением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  <w:r>
        <w:rPr>
          <w:rFonts w:ascii="Calibri" w:hAnsi="Calibri" w:cs="Calibri"/>
        </w:rPr>
        <w:t xml:space="preserve"> по Архангельской области следует предусматривать септик. Размеры земельных участков, отводимых под септики, следует принимать в соответствии с требованиями СП 32.13330.2012 и </w:t>
      </w:r>
      <w:hyperlink r:id="rId28">
        <w:r>
          <w:rPr>
            <w:rFonts w:ascii="Calibri" w:hAnsi="Calibri" w:cs="Calibri"/>
            <w:color w:val="0000FF"/>
          </w:rPr>
          <w:t>СанПиН 2.2.1/2.1.1.1200-03</w:t>
        </w:r>
      </w:hyperlink>
      <w:r>
        <w:rPr>
          <w:rFonts w:ascii="Calibri" w:hAnsi="Calibri" w:cs="Calibri"/>
        </w:rPr>
        <w:t>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7. Для регулирования стока дождевых вод следует проектировать пруды или резервуары, а также использовать существующие пруды, не являющиеся источниками питьевого водоснабжения.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36. Зоны транспортной инфраструктуры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Сооружения и коммуникации транспортной инфраструктуры могут располагаться в составе всех территориальных зон.</w:t>
      </w:r>
    </w:p>
    <w:p w:rsidR="00BF4571" w:rsidRDefault="00BF4571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При подготовке генерального плана городского округа "Город Архангельск" и проектов планировок территорий следует предусматривать единую систему транспорта и улично-дорожной сети в увязке со сложившейся планировочной структурой городского округа "Город Архангельск" и прилегающей к нему территории, обеспечивающую удобные, быстрые и безопасные транспортные связи со смежными муниципальными образованиями в соответствии со схемой территориального планирования Архангельской области, объектами внешнего транспорта и автомобильными дорогами</w:t>
      </w:r>
      <w:proofErr w:type="gramEnd"/>
      <w:r>
        <w:rPr>
          <w:rFonts w:ascii="Calibri" w:hAnsi="Calibri" w:cs="Calibri"/>
        </w:rPr>
        <w:t xml:space="preserve"> общей улично-дорожной сети.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целях устойчивого развития территории городского округа "Город Архангельск" необходимо создание развитой транспортной инфраструктуры, обеспечивающей необходимую плотность внутренних и внешних транспортных связей.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 проектировании улиц и дорог, транспортных узлов планировочные и технические решения должны обеспечивать безопасность движения транспортных средств и пешеходов, в том числе удобные и безопасные пути движения маломобильных групп населения.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В городском округе должны быть предусмотрены участки для постоянного хранения, временного хранения (парковки) и технического обслуживания легковых автомобилей всех категорий.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Рекомендуемые нормы расчета </w:t>
      </w:r>
      <w:proofErr w:type="spellStart"/>
      <w:r>
        <w:rPr>
          <w:rFonts w:ascii="Calibri" w:hAnsi="Calibri" w:cs="Calibri"/>
        </w:rPr>
        <w:t>приобъектных</w:t>
      </w:r>
      <w:proofErr w:type="spellEnd"/>
      <w:r>
        <w:rPr>
          <w:rFonts w:ascii="Calibri" w:hAnsi="Calibri" w:cs="Calibri"/>
        </w:rPr>
        <w:t xml:space="preserve"> стоянок автомобилей приведены в основной части настоящих нормативов.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37. Требования и рекомендации по установлению красных линий и линий отступа от красных линий в целях определения места допустимого размещения зданий, строений, сооружений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городского округа "Город Архангельск".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Красные линии устанавливаются с учетом: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ширины улиц и дорог, которые определяются расчетом в зависимости от интенсивности движения транспорта и пешеходов;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насаждений);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санитарно-гигиенических требований и требований гражданской обороны.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объектов транспортной инфраструктуры (временные парковки легкового транспорта, 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отдельных нестационарных объектов для попутного обслуживания пешеходов (мелкорозничная торговля и бытовое обслуживание).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Линии регулирования застройки - линии, определяющие места допустимого размещения зданий, строений, сооружений. Указанные линии устанавливаются с учетом сложившегося использования земельных участков и территорий санитарно-защитных и охранных зон.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Жилые здания с квартирами на первых этажах следует располагать с отступом от красных линий: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от многоквартирных многоэтажных (от 9 этажей и выше) и среднеэтажных (до 8 этажей) жилых домов до красных линий - не менее 3 м при условии обеспечения противопожарной защиты;</w:t>
      </w:r>
    </w:p>
    <w:p w:rsidR="00BF4571" w:rsidRDefault="00BF4571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2) от индивидуальных домов, домов блокированного типа до красных линий улиц - не менее 5 м, от красной линии проездов - не менее 3 м, расстояние от хозяйственных построек до красных линий улиц и проездов - не менее 5 м. Садовый дом должен отстоять от красной линии проездов не менее чем на 3 м. При этом между домами, расположенными на противоположных сторонах проезда</w:t>
      </w:r>
      <w:proofErr w:type="gramEnd"/>
      <w:r>
        <w:rPr>
          <w:rFonts w:ascii="Calibri" w:hAnsi="Calibri" w:cs="Calibri"/>
        </w:rPr>
        <w:t>, должны быть учтены противопожарные расстояния;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от зданий и сооружений в промышленных зонах - не менее 3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Указанные расстояния измеряются от наружной стены здания в уровне цоколя. Декоративные элементы, а также лестницы, приборы освещения, камеры слежения, выступающие за плоскость фасада не более 0,6 метра, не учитываются.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В районах усадебной </w:t>
      </w:r>
      <w:proofErr w:type="gramStart"/>
      <w:r>
        <w:rPr>
          <w:rFonts w:ascii="Calibri" w:hAnsi="Calibri" w:cs="Calibri"/>
        </w:rPr>
        <w:t>застройки жилые дома</w:t>
      </w:r>
      <w:proofErr w:type="gramEnd"/>
      <w:r>
        <w:rPr>
          <w:rFonts w:ascii="Calibri" w:hAnsi="Calibri" w:cs="Calibri"/>
        </w:rPr>
        <w:t xml:space="preserve"> могут размещаться по красной линии улиц в жилой застройке, если это предусмотрено градостроительной документацией.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показателей, приведенных в таблице 22.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Таблица 22. Минимальные расстояния от стен зданий и границ земельных участков учреждений и предприятий обслуживания до красных линий</w:t>
      </w:r>
    </w:p>
    <w:p w:rsidR="00BF4571" w:rsidRDefault="00BF4571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020"/>
        <w:gridCol w:w="169"/>
        <w:gridCol w:w="1814"/>
      </w:tblGrid>
      <w:tr w:rsidR="00BF4571">
        <w:tc>
          <w:tcPr>
            <w:tcW w:w="4598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4420" w:type="dxa"/>
            <w:gridSpan w:val="4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Минимальные расстояния (м)</w:t>
            </w:r>
          </w:p>
        </w:tc>
      </w:tr>
      <w:tr w:rsidR="00BF4571">
        <w:tc>
          <w:tcPr>
            <w:tcW w:w="4598" w:type="dxa"/>
            <w:vMerge/>
          </w:tcPr>
          <w:p w:rsidR="00BF4571" w:rsidRDefault="00BF4571"/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 красной линии</w:t>
            </w:r>
          </w:p>
        </w:tc>
        <w:tc>
          <w:tcPr>
            <w:tcW w:w="1020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 стен жилых домов</w:t>
            </w:r>
          </w:p>
        </w:tc>
        <w:tc>
          <w:tcPr>
            <w:tcW w:w="1983" w:type="dxa"/>
            <w:gridSpan w:val="2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 зданий общеобразовательных школ, детских дошкольных и лечебных учреждений</w:t>
            </w:r>
          </w:p>
        </w:tc>
      </w:tr>
      <w:tr w:rsidR="00BF4571">
        <w:tc>
          <w:tcPr>
            <w:tcW w:w="4598" w:type="dxa"/>
            <w:vMerge/>
          </w:tcPr>
          <w:p w:rsidR="00BF4571" w:rsidRDefault="00BF4571"/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020" w:type="dxa"/>
            <w:vMerge/>
          </w:tcPr>
          <w:p w:rsidR="00BF4571" w:rsidRDefault="00BF4571"/>
        </w:tc>
        <w:tc>
          <w:tcPr>
            <w:tcW w:w="1983" w:type="dxa"/>
            <w:gridSpan w:val="2"/>
            <w:vMerge/>
          </w:tcPr>
          <w:p w:rsidR="00BF4571" w:rsidRDefault="00BF4571"/>
        </w:tc>
      </w:tr>
      <w:tr w:rsidR="00BF4571">
        <w:tc>
          <w:tcPr>
            <w:tcW w:w="45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Детские дошкольные учреждения и </w:t>
            </w:r>
            <w:r>
              <w:rPr>
                <w:rFonts w:ascii="Calibri" w:hAnsi="Calibri" w:cs="Calibri"/>
              </w:rPr>
              <w:lastRenderedPageBreak/>
              <w:t>общеобразовательные школы (от стены здания)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3003" w:type="dxa"/>
            <w:gridSpan w:val="3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 соответствии с </w:t>
            </w:r>
            <w:r>
              <w:rPr>
                <w:rFonts w:ascii="Calibri" w:hAnsi="Calibri" w:cs="Calibri"/>
              </w:rPr>
              <w:lastRenderedPageBreak/>
              <w:t>техническими регламентами</w:t>
            </w:r>
          </w:p>
        </w:tc>
      </w:tr>
      <w:tr w:rsidR="00BF4571">
        <w:tc>
          <w:tcPr>
            <w:tcW w:w="6015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Учреждения здравоохранения:</w:t>
            </w:r>
          </w:p>
        </w:tc>
        <w:tc>
          <w:tcPr>
            <w:tcW w:w="3003" w:type="dxa"/>
            <w:gridSpan w:val="3"/>
            <w:vMerge/>
          </w:tcPr>
          <w:p w:rsidR="00BF4571" w:rsidRDefault="00BF4571"/>
        </w:tc>
      </w:tr>
      <w:tr w:rsidR="00BF4571">
        <w:tc>
          <w:tcPr>
            <w:tcW w:w="45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больничные корпуса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003" w:type="dxa"/>
            <w:gridSpan w:val="3"/>
            <w:vMerge/>
          </w:tcPr>
          <w:p w:rsidR="00BF4571" w:rsidRDefault="00BF4571"/>
        </w:tc>
      </w:tr>
      <w:tr w:rsidR="00BF4571">
        <w:tc>
          <w:tcPr>
            <w:tcW w:w="45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поликлиники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003" w:type="dxa"/>
            <w:gridSpan w:val="3"/>
            <w:vMerge/>
          </w:tcPr>
          <w:p w:rsidR="00BF4571" w:rsidRDefault="00BF4571"/>
        </w:tc>
      </w:tr>
      <w:tr w:rsidR="00BF4571">
        <w:tc>
          <w:tcPr>
            <w:tcW w:w="45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Пожарные депо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003" w:type="dxa"/>
            <w:gridSpan w:val="3"/>
          </w:tcPr>
          <w:p w:rsidR="00BF4571" w:rsidRDefault="00BF4571">
            <w:pPr>
              <w:spacing w:after="1" w:line="220" w:lineRule="auto"/>
            </w:pPr>
          </w:p>
        </w:tc>
      </w:tr>
      <w:tr w:rsidR="00BF4571">
        <w:tc>
          <w:tcPr>
            <w:tcW w:w="45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Приемные пункты вторичного сырья</w:t>
            </w:r>
          </w:p>
        </w:tc>
        <w:tc>
          <w:tcPr>
            <w:tcW w:w="1417" w:type="dxa"/>
          </w:tcPr>
          <w:p w:rsidR="00BF4571" w:rsidRDefault="00BF4571">
            <w:pPr>
              <w:spacing w:after="1" w:line="220" w:lineRule="auto"/>
            </w:pPr>
          </w:p>
        </w:tc>
        <w:tc>
          <w:tcPr>
            <w:tcW w:w="1189" w:type="dxa"/>
            <w:gridSpan w:val="2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814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BF4571">
        <w:tc>
          <w:tcPr>
            <w:tcW w:w="45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Кладбища традиционного захоронения и крематории</w:t>
            </w:r>
          </w:p>
        </w:tc>
        <w:tc>
          <w:tcPr>
            <w:tcW w:w="1417" w:type="dxa"/>
            <w:vMerge w:val="restart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03" w:type="dxa"/>
            <w:gridSpan w:val="3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 площади до 40 га - 300</w:t>
            </w:r>
          </w:p>
        </w:tc>
      </w:tr>
      <w:tr w:rsidR="00BF4571">
        <w:tc>
          <w:tcPr>
            <w:tcW w:w="4598" w:type="dxa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Кладбища для погребения после кремации</w:t>
            </w:r>
          </w:p>
        </w:tc>
        <w:tc>
          <w:tcPr>
            <w:tcW w:w="1417" w:type="dxa"/>
            <w:vMerge/>
          </w:tcPr>
          <w:p w:rsidR="00BF4571" w:rsidRDefault="00BF4571"/>
        </w:tc>
        <w:tc>
          <w:tcPr>
            <w:tcW w:w="3003" w:type="dxa"/>
            <w:gridSpan w:val="3"/>
          </w:tcPr>
          <w:p w:rsidR="00BF4571" w:rsidRDefault="00BF457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</w:tbl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12. ЗОНЫ ОСОБО ОХРАНЯЕМЫХ ТЕРРИТОРИЙ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38. Особо охраняемые природные территории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 разработке генерального плана и документации по планировке территории городского округа "Город Архангельск" учитываются все особо охраняемые природные территории, земли природоохранного, рекреационного, историко-культурного назначения и особо ценные земли на территории городского округа "Город Архангельск".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Категории, виды особо охраняемых природных территорий, а также режимы особой охраны определяются в соответствии с требованиями федерального законодательства, а также правовых актов Архангельской области.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39. Охрана объектов культурного наследия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Категории земель историко-культурного назначения и режимы их использования определяются в соответствии с Земельным кодексом Российской Федерации.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Регулирование деятельности на землях объектов культурного наследия (памятников истории и культуры) осуществляется в соответствии с требованиями федерального законодательства, правовых актов Архангельской области и нормативных правовых актов городского округа "Город Архангельск".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 подготовке генерального плана городского округа "Город Архангельск" и документации по планировке территории городского округа "Город Архангельск" следует учитывать требования законодательства об охране и использовании объектов культурного наследия (памятников истории и культуры) народов Российской Федерации (далее - объекты культурного наследия).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Документация по планировке территорий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Расстояния от объектов культурного наследия до транспортных и инженерных коммуникаций следует принимать: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 сетей водопровода, канализации и теплоснабжения (кроме разводящих) - не менее 10 м;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до других подземных инженерных сетей - не менее 5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условиях реконструкции указанные расстояния до инженерных сетей допускается сокращать, но принимать: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 </w:t>
      </w:r>
      <w:proofErr w:type="spellStart"/>
      <w:r>
        <w:rPr>
          <w:rFonts w:ascii="Calibri" w:hAnsi="Calibri" w:cs="Calibri"/>
        </w:rPr>
        <w:t>водонесущих</w:t>
      </w:r>
      <w:proofErr w:type="spellEnd"/>
      <w:r>
        <w:rPr>
          <w:rFonts w:ascii="Calibri" w:hAnsi="Calibri" w:cs="Calibri"/>
        </w:rPr>
        <w:t xml:space="preserve"> сетей - не менее 5 м;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 </w:t>
      </w:r>
      <w:proofErr w:type="spellStart"/>
      <w:r>
        <w:rPr>
          <w:rFonts w:ascii="Calibri" w:hAnsi="Calibri" w:cs="Calibri"/>
        </w:rPr>
        <w:t>неводонесущих</w:t>
      </w:r>
      <w:proofErr w:type="spellEnd"/>
      <w:r>
        <w:rPr>
          <w:rFonts w:ascii="Calibri" w:hAnsi="Calibri" w:cs="Calibri"/>
        </w:rPr>
        <w:t xml:space="preserve"> сетей - не менее 2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40. Зоны специального назначения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В состав зон специального назначения городского округа "Город Архангельск" могут включаться зоны,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Для предприятий, производств и объектов, расположенных в зоне специального назначения, в зависимости от мощности, характера и </w:t>
      </w:r>
      <w:proofErr w:type="gramStart"/>
      <w:r>
        <w:rPr>
          <w:rFonts w:ascii="Calibri" w:hAnsi="Calibri" w:cs="Calibri"/>
        </w:rPr>
        <w:t>количества</w:t>
      </w:r>
      <w:proofErr w:type="gramEnd"/>
      <w:r>
        <w:rPr>
          <w:rFonts w:ascii="Calibri" w:hAnsi="Calibri" w:cs="Calibri"/>
        </w:rPr>
        <w:t xml:space="preserve"> выделяемых в окружающую среду загрязняющих веществ и других вредных физических факторов в соответствии с санитарной классификацией устанавливаются санитарно-защитные зоны.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Размещение, расширение и реконструкция кладбищ, зданий и сооружений похоронного назначения осуществляется в соответствии с требованиями действующего законодательства, СанПиН 2.1.2882-11 "Гигиенические требования к размещению, устройству и содержанию кладбищ, зданий и сооружений похоронного назначения", </w:t>
      </w:r>
      <w:hyperlink r:id="rId29">
        <w:r>
          <w:rPr>
            <w:rFonts w:ascii="Calibri" w:hAnsi="Calibri" w:cs="Calibri"/>
            <w:color w:val="0000FF"/>
          </w:rPr>
          <w:t>СанПиН 2.2.1/2.1.1.1200-03</w:t>
        </w:r>
      </w:hyperlink>
      <w:r>
        <w:rPr>
          <w:rFonts w:ascii="Calibri" w:hAnsi="Calibri" w:cs="Calibri"/>
        </w:rPr>
        <w:t xml:space="preserve"> и настоящих нормативов.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Размер земельного участка для кладбища определяется с учетом количества жителей города,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Не допускается осуществлять новые погребения </w:t>
      </w:r>
      <w:proofErr w:type="spellStart"/>
      <w:r>
        <w:rPr>
          <w:rFonts w:ascii="Calibri" w:hAnsi="Calibri" w:cs="Calibri"/>
        </w:rPr>
        <w:t>некремированных</w:t>
      </w:r>
      <w:proofErr w:type="spellEnd"/>
      <w:r>
        <w:rPr>
          <w:rFonts w:ascii="Calibri" w:hAnsi="Calibri" w:cs="Calibri"/>
        </w:rPr>
        <w:t xml:space="preserve"> останков на сохраняемых в застройке, реконструируемых, реставрируемых кладбищах в случаях отсутствия вокруг них санитарно-защитных зон. Санитарно-защитная зона планируемого к размещению кладбища должна быть не менее 300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Полигоны твердых бытовых отходов являются специальными сооружениями, предназначенными для изоляции и обезвреживания твердых бытовых отходов; они должны гарантировать санитарно-эпидемиологическую безопасность населения.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отводе земельного участка определяется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Для сбора, хранения и утилизации снежно-ледяных отложений с территории городского округа "Город Архангельск", в том числе загрязненного снега с дорог, искусственных сооружений (мостов, эстакад, путепроводов), следует предусматривать специализированные сооружения - </w:t>
      </w:r>
      <w:proofErr w:type="spellStart"/>
      <w:r>
        <w:rPr>
          <w:rFonts w:ascii="Calibri" w:hAnsi="Calibri" w:cs="Calibri"/>
        </w:rPr>
        <w:t>снегоприемные</w:t>
      </w:r>
      <w:proofErr w:type="spellEnd"/>
      <w:r>
        <w:rPr>
          <w:rFonts w:ascii="Calibri" w:hAnsi="Calibri" w:cs="Calibri"/>
        </w:rPr>
        <w:t xml:space="preserve"> пункты. </w:t>
      </w:r>
      <w:proofErr w:type="spellStart"/>
      <w:r>
        <w:rPr>
          <w:rFonts w:ascii="Calibri" w:hAnsi="Calibri" w:cs="Calibri"/>
        </w:rPr>
        <w:t>Снегоприемные</w:t>
      </w:r>
      <w:proofErr w:type="spellEnd"/>
      <w:r>
        <w:rPr>
          <w:rFonts w:ascii="Calibri" w:hAnsi="Calibri" w:cs="Calibri"/>
        </w:rPr>
        <w:t xml:space="preserve"> пункты могут быть в виде "сухих" снежных свалок и </w:t>
      </w:r>
      <w:proofErr w:type="spellStart"/>
      <w:r>
        <w:rPr>
          <w:rFonts w:ascii="Calibri" w:hAnsi="Calibri" w:cs="Calibri"/>
        </w:rPr>
        <w:t>снегоплавильных</w:t>
      </w:r>
      <w:proofErr w:type="spellEnd"/>
      <w:r>
        <w:rPr>
          <w:rFonts w:ascii="Calibri" w:hAnsi="Calibri" w:cs="Calibri"/>
        </w:rPr>
        <w:t xml:space="preserve"> шахт, подключенных к системе канализации.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 Допускается использование территории </w:t>
      </w:r>
      <w:proofErr w:type="spellStart"/>
      <w:r>
        <w:rPr>
          <w:rFonts w:ascii="Calibri" w:hAnsi="Calibri" w:cs="Calibri"/>
        </w:rPr>
        <w:t>снегосвалки</w:t>
      </w:r>
      <w:proofErr w:type="spellEnd"/>
      <w:r>
        <w:rPr>
          <w:rFonts w:ascii="Calibri" w:hAnsi="Calibri" w:cs="Calibri"/>
        </w:rPr>
        <w:t xml:space="preserve"> в летнее время для организации стоянки автотранспорта и иных целей.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13. ОХРАНА ОКРУЖАЮЩЕЙ СРЕДЫ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lastRenderedPageBreak/>
        <w:t>Статья 41. Рациональное использование природных ресурсов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Изъятие под застройку земель лесного фонда допускается в исключительных случаях в соответствии с требованиями </w:t>
      </w:r>
      <w:hyperlink r:id="rId30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 и </w:t>
      </w:r>
      <w:hyperlink r:id="rId3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 кодексов Российской Федерации, федерального законодательства.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Для промышленных объектов, производств и сооружений, являющихся источниками воздействия на среду обитания и здоровье человека, устанавливаются санитарно-защитные зоны в соответствии с требованиями </w:t>
      </w:r>
      <w:hyperlink r:id="rId32">
        <w:r>
          <w:rPr>
            <w:rFonts w:ascii="Calibri" w:hAnsi="Calibri" w:cs="Calibri"/>
            <w:color w:val="0000FF"/>
          </w:rPr>
          <w:t>СанПиН 2.2.1/2.1.1.1200-03</w:t>
        </w:r>
      </w:hyperlink>
      <w:r>
        <w:rPr>
          <w:rFonts w:ascii="Calibri" w:hAnsi="Calibri" w:cs="Calibri"/>
        </w:rPr>
        <w:t xml:space="preserve"> и настоящих нормативов.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42. Охрана атмосферного воздуха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При проектировании застройки, оказывающей негативное воздействие на окружающую среду, должна быть произведена оценка состояния и разработан прогноз изменения качества атмосферного воздуха путем расчета уровня загрязнения атмосферы от всех источников загрязнения (промышленных, транспортных и других), принимая во внимание аэроклиматические и геоморфологические условия, ожидаемые загрязнения атмосферного воздуха с учетом существующих и планируемых объектов, предельно допустимые концентрации или ориентировочные безопасные уровни воздействия для</w:t>
      </w:r>
      <w:proofErr w:type="gramEnd"/>
      <w:r>
        <w:rPr>
          <w:rFonts w:ascii="Calibri" w:hAnsi="Calibri" w:cs="Calibri"/>
        </w:rPr>
        <w:t xml:space="preserve"> каждого из загрязняющих веществ; также должны быть разработаны предупредительные действия по исключению загрязнения атмосферы, включая неорганизованные выбросы и вторичные источники.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Предельно допустимые концентрации вредных веществ в атмосферном воздухе на территории городского округа "Город Архангельск" принимаются в соответствии с требованиями </w:t>
      </w:r>
      <w:hyperlink r:id="rId33">
        <w:r>
          <w:rPr>
            <w:rFonts w:ascii="Calibri" w:hAnsi="Calibri" w:cs="Calibri"/>
            <w:color w:val="0000FF"/>
          </w:rPr>
          <w:t>ГН 2.1.6.1338-03</w:t>
        </w:r>
      </w:hyperlink>
      <w:r>
        <w:rPr>
          <w:rFonts w:ascii="Calibri" w:hAnsi="Calibri" w:cs="Calibri"/>
        </w:rPr>
        <w:t xml:space="preserve"> "Предельно допустимые концентрации (ПДК) загрязняющих веществ в атмосферном воздухе населенных мест", </w:t>
      </w:r>
      <w:hyperlink r:id="rId34">
        <w:r>
          <w:rPr>
            <w:rFonts w:ascii="Calibri" w:hAnsi="Calibri" w:cs="Calibri"/>
            <w:color w:val="0000FF"/>
          </w:rPr>
          <w:t>ГН 2.1.6.2309-07</w:t>
        </w:r>
      </w:hyperlink>
      <w:r>
        <w:rPr>
          <w:rFonts w:ascii="Calibri" w:hAnsi="Calibri" w:cs="Calibri"/>
        </w:rPr>
        <w:t xml:space="preserve"> "Атмосферный воздух и воздух закрытых помещений, санитарная охрана воздуха".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Жилые зоны не следует размещать с подветренной стороны (для ветров преобладающего направления) по отношению к источникам загрязнения атмосферного воздуха.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43. Охрана водных объектов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Качество воды водных объектов, используемых для хозяйственно-питьевого водоснабжения, рекреационного водопользования и расположенных в границах городского округа "Город Архангельск", должно соответствовать санитарным и гигиеническим нормативам.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В целях поддержания благоприятного гидрологического режима, улучшения санитарного состояния, рационального использования водных ресурсов рек и озер устанавливаются </w:t>
      </w:r>
      <w:proofErr w:type="spellStart"/>
      <w:r>
        <w:rPr>
          <w:rFonts w:ascii="Calibri" w:hAnsi="Calibri" w:cs="Calibri"/>
        </w:rPr>
        <w:t>водоохранные</w:t>
      </w:r>
      <w:proofErr w:type="spellEnd"/>
      <w:r>
        <w:rPr>
          <w:rFonts w:ascii="Calibri" w:hAnsi="Calibri" w:cs="Calibri"/>
        </w:rPr>
        <w:t xml:space="preserve"> зоны и прибрежные защитные полосы. Регламент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зон, прибрежных защитных полос устанавливается в соответствии с Водным </w:t>
      </w:r>
      <w:hyperlink r:id="rId35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44. Охрана почв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Требования по охране почв предъявляются к жилым, рекреационным зонам, зонам санитарной охраны водоемов и водотоков, территориям сельскохозяйственного назначения и другим территориям, где возможно влияние загрязненных почв на здоровье человека и условия проживания.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Мероприятия по охране почв предусматривают введение специальных режимов их использования, изменение целевого назначения и рекультивацию почв.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45. Защита от шума и вибрации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Планировку и застройку жилых зон города следует осуществлять с учетом обеспечения допустимых уровней шума. Меры по защите от акустического загрязнения следует предусматривать на всех стадиях проектирования в соответствии с требованиями </w:t>
      </w:r>
      <w:hyperlink r:id="rId36">
        <w:proofErr w:type="spellStart"/>
        <w:r>
          <w:rPr>
            <w:rFonts w:ascii="Calibri" w:hAnsi="Calibri" w:cs="Calibri"/>
            <w:color w:val="0000FF"/>
          </w:rPr>
          <w:t>СН</w:t>
        </w:r>
        <w:proofErr w:type="spellEnd"/>
        <w:r>
          <w:rPr>
            <w:rFonts w:ascii="Calibri" w:hAnsi="Calibri" w:cs="Calibri"/>
            <w:color w:val="0000FF"/>
          </w:rPr>
          <w:t xml:space="preserve"> 2.2.4/2.1.8.562-96</w:t>
        </w:r>
      </w:hyperlink>
      <w:r>
        <w:rPr>
          <w:rFonts w:ascii="Calibri" w:hAnsi="Calibri" w:cs="Calibri"/>
        </w:rPr>
        <w:t xml:space="preserve"> "Шум на рабочих местах, в помещениях жилых, общественных зданий и на территории жилой застройки".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2. Территории нового строительства и реконструкции должны оцениваться с учетом параметров вибрации.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14. ИНЖЕНЕРНАЯ ПОДГОТОВКА И ЗАЩИТА ТЕРРИТОРИИ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46. Общие требования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Принятие градостроительных решений должно основываться на результатах анализа инженерно-геологической обстановки. Необходимо обеспечивать соблюдение расчетного гидрогеологического режима грунтов оснований, а также предотвращение развития эрозионных и других физико-геологических процессов, приводящих к нежелательному изменению природных условий и недопустимым нарушениям осваиваемой территории.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 планировке и </w:t>
      </w:r>
      <w:proofErr w:type="gramStart"/>
      <w:r>
        <w:rPr>
          <w:rFonts w:ascii="Calibri" w:hAnsi="Calibri" w:cs="Calibri"/>
        </w:rPr>
        <w:t>застройке города</w:t>
      </w:r>
      <w:proofErr w:type="gramEnd"/>
      <w:r>
        <w:rPr>
          <w:rFonts w:ascii="Calibri" w:hAnsi="Calibri" w:cs="Calibri"/>
        </w:rPr>
        <w:t xml:space="preserve"> следует предусматривать инженерную защиту от действующих факторов природного риска в соответствии с действующими нормативными документами.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Сооружения и мероприятия по защите от опасных геологических процессов должны выполняться в соответствии с требованиями СП 116.13330.2012 "Инженерная защита территорий, зданий и сооружений от опасных геологических процессов. Основные положения. Актуализированная редакция СНиП 22-02-2003".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47. Сооружения и мероприятия для защиты от подтопления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В целях обеспечения инженерной защиты территории от подтопления следует предусматривать комплекс мероприятий, обеспечивающих предотвращение подтопления территорий.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Защита от подтопления должна включать: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защиту населения от опасных явлений, связанных с пропуском паводковых вод в весенне-осенний период, при половодье;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локальную защиту зданий, сооружений, грунтов оснований и защиту застроенной территории в целом;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водоотведение;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утилизацию (при необходимости очистки) дренажных вод.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 планом городского округа "Город Архангельск" и документацией по планировке территории.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15. РАЗМЕЩЕНИЕ ИНЖЕНЕРНЫХ СЕТЕЙ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48. Зоны инженерной инфраструктуры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Инженерные сети следует размещать преимущественно в пределах поперечных профилей улиц и дорог: под тротуарами или разделительными полосами - инженерные сети в коллекторах, каналах или тоннелях, в разделительных полосах - тепловые сети, водопровод, газопровод, хозяйственную и дождевую канализацию.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</w:t>
      </w:r>
      <w:r>
        <w:rPr>
          <w:rFonts w:ascii="Calibri" w:hAnsi="Calibri" w:cs="Calibri"/>
        </w:rPr>
        <w:lastRenderedPageBreak/>
        <w:t>допускается под проезжими частями улиц сохранение существующих, а также прокладка в каналах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каналах; при технической необходимости допускается прокладка газопровода под проезжими частями улиц.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16. ТРЕБОВАНИЯ ПО ОБЕСПЕЧЕНИЮ ЗАЩИТЫ НАСЕЛЕНИЯ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И ТЕРРИТОРИЙ ОТ ВОЗДЕЙСТВИЯ ЧРЕЗВЫЧАЙНЫХ СИТУАЦИЙ ПРИРОДНОГО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И ТЕХНОГЕННОГО ХАРАКТЕРА И ТРЕБОВАНИЯ К МЕРОПРИЯТИЯМ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ГРАЖДАНСКОЙ ОБОРОНЕ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49. Инженерно-технические мероприятия гражданской обороны и предупреждения чрезвычайных ситуаций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Инженерно-технические мероприятия гражданской обороны и предупреждения чрезвычайных ситуаций должны учитываться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подготовке генерального плана городского округа "Город Архангельск";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разработке документации по планировке территории (проектов планировки, проектов межевания территории);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разработке материалов, обосновывающих строительство (технико-экономического обоснования, технико-экономических расчетов), а также проектной документации на строительство и реконструкцию объектов капитального строительства.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К рекам и водоемам, которые могут быть использованы для целей пожаротушения, следует устраивать подъезды для забора воды с площадками размером не менее 12 м x 12 м.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объектов, расположенных в радиусе не более 200 м от водоема.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разработке генерального плана городского округа "Город Архангельск", а также документации по планировке территории городского округа "Город Архангельск" необходимо резервировать территорию под размещение пожарных депо с учетом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Размещение пожарных депо следует осуществлять в соответствии с действующим законодательством.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Глава 17. ОБЕСПЕЧЕНИЕ ДОСТУПНОСТИ ЖИЛЫХ ОБЪЕКТОВ,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ОБЪЕКТОВ СОЦИАЛЬНОЙ ИНФРАСТРУКТУРЫ ДЛЯ ИНВАЛИДОВ</w:t>
      </w:r>
    </w:p>
    <w:p w:rsidR="00BF4571" w:rsidRDefault="00BF457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МАЛОМОБИЛЬНЫХ ГРУПП НАСЕЛЕНИЯ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  <w:outlineLvl w:val="3"/>
      </w:pPr>
      <w:r>
        <w:rPr>
          <w:rFonts w:ascii="Calibri" w:hAnsi="Calibri" w:cs="Calibri"/>
          <w:b/>
        </w:rPr>
        <w:t>Статья 50. Основные положения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проектировании и реконструкции жилых, общественных и промышленных зданий следует предусматривать для инвалидов и граждан других маломобильных групп населения условия жизнедеятельности, равные с остальными категориями населения, в соответствии с требованиями СП 59.13330.2012, СП 35-101-2001, СП 35-102-2001, СП 31-102-99, СП 35-103-2001, </w:t>
      </w:r>
      <w:proofErr w:type="spellStart"/>
      <w:r>
        <w:rPr>
          <w:rFonts w:ascii="Calibri" w:hAnsi="Calibri" w:cs="Calibri"/>
        </w:rPr>
        <w:t>ВСН</w:t>
      </w:r>
      <w:proofErr w:type="spellEnd"/>
      <w:r>
        <w:rPr>
          <w:rFonts w:ascii="Calibri" w:hAnsi="Calibri" w:cs="Calibri"/>
        </w:rPr>
        <w:t xml:space="preserve"> 62-91*, </w:t>
      </w:r>
      <w:proofErr w:type="spellStart"/>
      <w:r>
        <w:rPr>
          <w:rFonts w:ascii="Calibri" w:hAnsi="Calibri" w:cs="Calibri"/>
        </w:rPr>
        <w:t>РДС</w:t>
      </w:r>
      <w:proofErr w:type="spellEnd"/>
      <w:r>
        <w:rPr>
          <w:rFonts w:ascii="Calibri" w:hAnsi="Calibri" w:cs="Calibri"/>
        </w:rPr>
        <w:t xml:space="preserve"> 35-201-99.</w:t>
      </w:r>
    </w:p>
    <w:p w:rsidR="00BF4571" w:rsidRDefault="00BF457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2. Перечень объектов, доступных для инвалидов и других маломобильных групп населения, расчетное число и категория инвалидов, а также группа мобильности групп населения устанавливаются заданием на проектирование.</w:t>
      </w: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spacing w:after="1" w:line="220" w:lineRule="auto"/>
        <w:ind w:firstLine="540"/>
        <w:jc w:val="both"/>
      </w:pPr>
    </w:p>
    <w:p w:rsidR="00BF4571" w:rsidRDefault="00BF457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A21" w:rsidRDefault="00511A21"/>
    <w:sectPr w:rsidR="00511A2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9D"/>
    <w:rsid w:val="00511A21"/>
    <w:rsid w:val="00BF4571"/>
    <w:rsid w:val="00C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616" TargetMode="External"/><Relationship Id="rId13" Type="http://schemas.openxmlformats.org/officeDocument/2006/relationships/hyperlink" Target="https://login.consultant.ru/link/?req=doc&amp;base=LAW&amp;n=486034" TargetMode="External"/><Relationship Id="rId18" Type="http://schemas.openxmlformats.org/officeDocument/2006/relationships/hyperlink" Target="https://login.consultant.ru/link/?req=doc&amp;base=LAW&amp;n=465775" TargetMode="External"/><Relationship Id="rId26" Type="http://schemas.openxmlformats.org/officeDocument/2006/relationships/hyperlink" Target="https://login.consultant.ru/link/?req=doc&amp;base=LAW&amp;n=4948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1298" TargetMode="External"/><Relationship Id="rId34" Type="http://schemas.openxmlformats.org/officeDocument/2006/relationships/hyperlink" Target="https://login.consultant.ru/link/?req=doc&amp;base=LAW&amp;n=208142" TargetMode="External"/><Relationship Id="rId7" Type="http://schemas.openxmlformats.org/officeDocument/2006/relationships/hyperlink" Target="https://login.consultant.ru/link/?req=doc&amp;base=LAW&amp;n=481298&amp;dst=101857" TargetMode="External"/><Relationship Id="rId12" Type="http://schemas.openxmlformats.org/officeDocument/2006/relationships/hyperlink" Target="https://login.consultant.ru/link/?req=doc&amp;base=LAW&amp;n=481298&amp;dst=101833" TargetMode="External"/><Relationship Id="rId17" Type="http://schemas.openxmlformats.org/officeDocument/2006/relationships/hyperlink" Target="https://login.consultant.ru/link/?req=doc&amp;base=RLAW013&amp;n=135254" TargetMode="External"/><Relationship Id="rId25" Type="http://schemas.openxmlformats.org/officeDocument/2006/relationships/hyperlink" Target="https://login.consultant.ru/link/?req=doc&amp;base=LAW&amp;n=493188" TargetMode="External"/><Relationship Id="rId33" Type="http://schemas.openxmlformats.org/officeDocument/2006/relationships/hyperlink" Target="https://login.consultant.ru/link/?req=doc&amp;base=LAW&amp;n=204665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74425" TargetMode="External"/><Relationship Id="rId20" Type="http://schemas.openxmlformats.org/officeDocument/2006/relationships/hyperlink" Target="https://login.consultant.ru/link/?req=doc&amp;base=LAW&amp;n=480999" TargetMode="External"/><Relationship Id="rId29" Type="http://schemas.openxmlformats.org/officeDocument/2006/relationships/hyperlink" Target="https://login.consultant.ru/link/?req=doc&amp;base=LAW&amp;n=4948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43996&amp;dst=100005" TargetMode="External"/><Relationship Id="rId11" Type="http://schemas.openxmlformats.org/officeDocument/2006/relationships/hyperlink" Target="https://login.consultant.ru/link/?req=doc&amp;base=RLAW013&amp;n=143996&amp;dst=100005" TargetMode="External"/><Relationship Id="rId24" Type="http://schemas.openxmlformats.org/officeDocument/2006/relationships/hyperlink" Target="https://login.consultant.ru/link/?req=doc&amp;base=RLAW013&amp;n=148555&amp;dst=103142" TargetMode="External"/><Relationship Id="rId32" Type="http://schemas.openxmlformats.org/officeDocument/2006/relationships/hyperlink" Target="https://login.consultant.ru/link/?req=doc&amp;base=LAW&amp;n=49488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3&amp;n=130923&amp;dst=100005" TargetMode="External"/><Relationship Id="rId15" Type="http://schemas.openxmlformats.org/officeDocument/2006/relationships/hyperlink" Target="https://login.consultant.ru/link/?req=doc&amp;base=LAW&amp;n=481449" TargetMode="External"/><Relationship Id="rId23" Type="http://schemas.openxmlformats.org/officeDocument/2006/relationships/hyperlink" Target="https://login.consultant.ru/link/?req=doc&amp;base=LAW&amp;n=484451" TargetMode="External"/><Relationship Id="rId28" Type="http://schemas.openxmlformats.org/officeDocument/2006/relationships/hyperlink" Target="https://login.consultant.ru/link/?req=doc&amp;base=LAW&amp;n=494886" TargetMode="External"/><Relationship Id="rId36" Type="http://schemas.openxmlformats.org/officeDocument/2006/relationships/hyperlink" Target="https://login.consultant.ru/link/?req=doc&amp;base=LAW&amp;n=103805" TargetMode="External"/><Relationship Id="rId10" Type="http://schemas.openxmlformats.org/officeDocument/2006/relationships/hyperlink" Target="https://login.consultant.ru/link/?req=doc&amp;base=RLAW013&amp;n=130923&amp;dst=100005" TargetMode="External"/><Relationship Id="rId19" Type="http://schemas.openxmlformats.org/officeDocument/2006/relationships/hyperlink" Target="https://login.consultant.ru/link/?req=doc&amp;base=LAW&amp;n=489137" TargetMode="External"/><Relationship Id="rId31" Type="http://schemas.openxmlformats.org/officeDocument/2006/relationships/hyperlink" Target="https://login.consultant.ru/link/?req=doc&amp;base=LAW&amp;n=48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30923&amp;dst=100005" TargetMode="External"/><Relationship Id="rId14" Type="http://schemas.openxmlformats.org/officeDocument/2006/relationships/hyperlink" Target="https://login.consultant.ru/link/?req=doc&amp;base=LAW&amp;n=486034" TargetMode="External"/><Relationship Id="rId22" Type="http://schemas.openxmlformats.org/officeDocument/2006/relationships/hyperlink" Target="https://login.consultant.ru/link/?req=doc&amp;base=LAW&amp;n=480999" TargetMode="External"/><Relationship Id="rId27" Type="http://schemas.openxmlformats.org/officeDocument/2006/relationships/hyperlink" Target="https://login.consultant.ru/link/?req=doc&amp;base=LAW&amp;n=494886" TargetMode="External"/><Relationship Id="rId30" Type="http://schemas.openxmlformats.org/officeDocument/2006/relationships/hyperlink" Target="https://login.consultant.ru/link/?req=doc&amp;base=LAW&amp;n=501326" TargetMode="External"/><Relationship Id="rId35" Type="http://schemas.openxmlformats.org/officeDocument/2006/relationships/hyperlink" Target="https://login.consultant.ru/link/?req=doc&amp;base=LAW&amp;n=48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11488</Words>
  <Characters>65486</Characters>
  <Application>Microsoft Office Word</Application>
  <DocSecurity>0</DocSecurity>
  <Lines>545</Lines>
  <Paragraphs>153</Paragraphs>
  <ScaleCrop>false</ScaleCrop>
  <Company/>
  <LinksUpToDate>false</LinksUpToDate>
  <CharactersWithSpaces>76821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2025-05-19T05:35:00Z</dcterms:created>
  <dcterms:modified xsi:type="dcterms:W3CDTF">2025-05-19T05:37:00Z</dcterms:modified>
</cp:coreProperties>
</file>